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68" w:rsidRDefault="003D0C68" w:rsidP="003D0C68">
      <w:pPr>
        <w:pStyle w:val="a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3703C7">
        <w:t>25</w:t>
      </w:r>
      <w:r w:rsidRPr="00206919">
        <w:t xml:space="preserve">» </w:t>
      </w:r>
      <w:r w:rsidR="00FB2B1D">
        <w:t>июля</w:t>
      </w:r>
      <w:r w:rsidRPr="00206919">
        <w:t xml:space="preserve"> 201</w:t>
      </w:r>
      <w:r w:rsidR="00FB2B1D">
        <w:t>6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Администрации Фировского района от</w:t>
      </w:r>
      <w:r w:rsidR="004D0725">
        <w:rPr>
          <w:b w:val="0"/>
          <w:szCs w:val="24"/>
        </w:rPr>
        <w:t xml:space="preserve"> </w:t>
      </w:r>
      <w:r w:rsidR="00D65E82">
        <w:rPr>
          <w:b w:val="0"/>
          <w:szCs w:val="24"/>
        </w:rPr>
        <w:t>20.06</w:t>
      </w:r>
      <w:r w:rsidR="00043FDA">
        <w:rPr>
          <w:b w:val="0"/>
          <w:szCs w:val="24"/>
        </w:rPr>
        <w:t>.</w:t>
      </w:r>
      <w:r w:rsidRPr="001D7FE2">
        <w:rPr>
          <w:b w:val="0"/>
          <w:szCs w:val="24"/>
        </w:rPr>
        <w:t>201</w:t>
      </w:r>
      <w:r w:rsidR="00FB2B1D">
        <w:rPr>
          <w:b w:val="0"/>
          <w:szCs w:val="24"/>
        </w:rPr>
        <w:t>6</w:t>
      </w:r>
      <w:r w:rsidRPr="001D7FE2">
        <w:rPr>
          <w:b w:val="0"/>
          <w:szCs w:val="24"/>
        </w:rPr>
        <w:t xml:space="preserve"> года № </w:t>
      </w:r>
      <w:r w:rsidR="00D65E82">
        <w:rPr>
          <w:b w:val="0"/>
          <w:szCs w:val="24"/>
        </w:rPr>
        <w:t>172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3D0C68" w:rsidRDefault="003D0C68" w:rsidP="003D0C68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>
        <w:rPr>
          <w:sz w:val="24"/>
        </w:rPr>
        <w:t xml:space="preserve"> </w:t>
      </w:r>
      <w:r w:rsidR="00934444">
        <w:rPr>
          <w:sz w:val="24"/>
        </w:rPr>
        <w:t>25</w:t>
      </w:r>
      <w:r w:rsidR="00FB2B1D">
        <w:rPr>
          <w:sz w:val="24"/>
        </w:rPr>
        <w:t>.07.2016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10.00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560"/>
      </w:tblGrid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560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733A01" w:rsidRPr="001F780C" w:rsidRDefault="00733A01" w:rsidP="00733A01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>Тверская область, Фировский район, Фировское г/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 xml:space="preserve">, пгт. Фирово, ул. </w:t>
            </w:r>
            <w:proofErr w:type="gramStart"/>
            <w:r>
              <w:rPr>
                <w:szCs w:val="24"/>
              </w:rPr>
              <w:t>Заречная</w:t>
            </w:r>
            <w:proofErr w:type="gramEnd"/>
            <w:r>
              <w:rPr>
                <w:szCs w:val="24"/>
              </w:rPr>
              <w:t>.</w:t>
            </w:r>
          </w:p>
          <w:p w:rsidR="003D0C68" w:rsidRPr="00FB2B1D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211044" w:rsidP="00D12D46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</w:t>
            </w:r>
            <w:r w:rsidR="003D0C68" w:rsidRPr="007C48C0">
              <w:rPr>
                <w:sz w:val="24"/>
                <w:szCs w:val="24"/>
              </w:rPr>
              <w:t xml:space="preserve"> собственность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560" w:type="dxa"/>
            <w:shd w:val="clear" w:color="auto" w:fill="auto"/>
          </w:tcPr>
          <w:p w:rsidR="003D0C68" w:rsidRPr="00733A01" w:rsidRDefault="005432F9" w:rsidP="003703C7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FB2B1D" w:rsidRPr="00733A01">
              <w:rPr>
                <w:color w:val="000000"/>
                <w:sz w:val="24"/>
                <w:szCs w:val="24"/>
              </w:rPr>
              <w:t>0000013</w:t>
            </w:r>
            <w:r w:rsidRPr="00733A01">
              <w:rPr>
                <w:color w:val="000000"/>
                <w:sz w:val="24"/>
                <w:szCs w:val="24"/>
              </w:rPr>
              <w:t>:</w:t>
            </w:r>
            <w:r w:rsidR="00FB2B1D" w:rsidRPr="00733A01">
              <w:rPr>
                <w:color w:val="000000"/>
                <w:sz w:val="24"/>
                <w:szCs w:val="24"/>
              </w:rPr>
              <w:t>20</w:t>
            </w:r>
            <w:r w:rsidR="003703C7">
              <w:rPr>
                <w:color w:val="000000"/>
                <w:sz w:val="24"/>
                <w:szCs w:val="24"/>
              </w:rPr>
              <w:t>26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560" w:type="dxa"/>
            <w:shd w:val="clear" w:color="auto" w:fill="auto"/>
          </w:tcPr>
          <w:p w:rsidR="003D0C68" w:rsidRPr="00733A01" w:rsidRDefault="00FB2B1D" w:rsidP="003D0C68">
            <w:pPr>
              <w:rPr>
                <w:sz w:val="24"/>
                <w:szCs w:val="24"/>
              </w:rPr>
            </w:pPr>
            <w:r w:rsidRPr="00733A01">
              <w:rPr>
                <w:sz w:val="24"/>
                <w:szCs w:val="24"/>
              </w:rPr>
              <w:t>1500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560" w:type="dxa"/>
            <w:shd w:val="clear" w:color="auto" w:fill="auto"/>
          </w:tcPr>
          <w:p w:rsidR="003D0C68" w:rsidRPr="00733A01" w:rsidRDefault="00FB2B1D" w:rsidP="003D0C68">
            <w:pPr>
              <w:rPr>
                <w:color w:val="000000"/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FB2B1D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34140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FB2B1D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1024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FB2B1D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6828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1C6FB7" w:rsidP="001C6FB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Возможность подключения к </w:t>
            </w:r>
            <w:r w:rsidR="001F3740">
              <w:rPr>
                <w:b/>
                <w:sz w:val="24"/>
                <w:szCs w:val="24"/>
              </w:rPr>
              <w:t>сет</w:t>
            </w:r>
            <w:r>
              <w:rPr>
                <w:b/>
                <w:sz w:val="24"/>
                <w:szCs w:val="24"/>
              </w:rPr>
              <w:t xml:space="preserve">ям 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</w:t>
            </w:r>
            <w:r>
              <w:rPr>
                <w:b/>
                <w:sz w:val="24"/>
                <w:szCs w:val="24"/>
              </w:rPr>
              <w:t xml:space="preserve">обеспечения отсутствует, </w:t>
            </w:r>
            <w:r w:rsidR="001F3740">
              <w:rPr>
                <w:b/>
                <w:sz w:val="24"/>
                <w:szCs w:val="24"/>
              </w:rPr>
              <w:t xml:space="preserve"> т.</w:t>
            </w:r>
            <w:r>
              <w:rPr>
                <w:b/>
                <w:sz w:val="24"/>
                <w:szCs w:val="24"/>
              </w:rPr>
              <w:t>к</w:t>
            </w:r>
            <w:r w:rsidR="001F3740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в непосредственной близости</w:t>
            </w:r>
            <w:r w:rsidR="001F3740">
              <w:rPr>
                <w:b/>
                <w:sz w:val="24"/>
                <w:szCs w:val="24"/>
              </w:rPr>
              <w:t xml:space="preserve"> нет имущественных объектов, непосредственно</w:t>
            </w:r>
            <w:r w:rsidR="00E927AB">
              <w:rPr>
                <w:b/>
                <w:sz w:val="24"/>
                <w:szCs w:val="24"/>
              </w:rPr>
              <w:t xml:space="preserve"> используемых в процессе тепл</w:t>
            </w:r>
            <w:proofErr w:type="gramStart"/>
            <w:r w:rsidR="00E927AB">
              <w:rPr>
                <w:b/>
                <w:sz w:val="24"/>
                <w:szCs w:val="24"/>
              </w:rPr>
              <w:t>о-</w:t>
            </w:r>
            <w:proofErr w:type="gramEnd"/>
            <w:r w:rsidR="00E927AB">
              <w:rPr>
                <w:b/>
                <w:sz w:val="24"/>
                <w:szCs w:val="24"/>
              </w:rPr>
              <w:t>, газа-, водоснабжения и водоотведения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с максимальным строительством этажей, включая мансардный этаж - 3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</w:t>
            </w:r>
            <w:r w:rsidR="00E927AB">
              <w:rPr>
                <w:b/>
                <w:sz w:val="24"/>
                <w:szCs w:val="24"/>
              </w:rPr>
              <w:lastRenderedPageBreak/>
              <w:t>продажи</w:t>
            </w:r>
          </w:p>
        </w:tc>
        <w:tc>
          <w:tcPr>
            <w:tcW w:w="7560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lastRenderedPageBreak/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proofErr w:type="spellStart"/>
            <w:r w:rsidR="00211044">
              <w:rPr>
                <w:rStyle w:val="a3"/>
                <w:lang w:val="en-US"/>
              </w:rPr>
              <w:t>glavafirovo</w:t>
            </w:r>
            <w:proofErr w:type="spellEnd"/>
            <w:r w:rsidR="00211044" w:rsidRPr="00211044">
              <w:rPr>
                <w:rStyle w:val="a3"/>
              </w:rPr>
              <w:t>.</w:t>
            </w:r>
            <w:proofErr w:type="spellStart"/>
            <w:r w:rsidR="00211044"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lastRenderedPageBreak/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3D0C68" w:rsidRDefault="003D0C68" w:rsidP="003D0C68">
      <w:pPr>
        <w:ind w:firstLine="709"/>
        <w:jc w:val="both"/>
        <w:rPr>
          <w:sz w:val="24"/>
        </w:rPr>
      </w:pPr>
      <w:r>
        <w:rPr>
          <w:sz w:val="24"/>
        </w:rPr>
        <w:t xml:space="preserve">Прием заявок  на участие в аукционе осуществляется КУМС и ЗО  с </w:t>
      </w:r>
      <w:r w:rsidR="003703C7">
        <w:rPr>
          <w:sz w:val="24"/>
        </w:rPr>
        <w:t>23</w:t>
      </w:r>
      <w:r w:rsidR="00733A01" w:rsidRPr="00733A01">
        <w:rPr>
          <w:sz w:val="24"/>
        </w:rPr>
        <w:t>.06.2016</w:t>
      </w:r>
      <w:r w:rsidRPr="00733A01">
        <w:rPr>
          <w:b/>
          <w:sz w:val="24"/>
        </w:rPr>
        <w:t xml:space="preserve"> </w:t>
      </w:r>
      <w:r w:rsidRPr="00733A01">
        <w:rPr>
          <w:sz w:val="24"/>
        </w:rPr>
        <w:t xml:space="preserve">года  по </w:t>
      </w:r>
      <w:r w:rsidR="003703C7">
        <w:rPr>
          <w:sz w:val="24"/>
        </w:rPr>
        <w:t>18.07</w:t>
      </w:r>
      <w:r w:rsidRPr="00733A01">
        <w:rPr>
          <w:sz w:val="24"/>
        </w:rPr>
        <w:t>. 201</w:t>
      </w:r>
      <w:r w:rsidR="001C6FB7" w:rsidRPr="00733A01">
        <w:rPr>
          <w:sz w:val="24"/>
        </w:rPr>
        <w:t>6</w:t>
      </w:r>
      <w:r w:rsidRPr="00733A01">
        <w:rPr>
          <w:sz w:val="24"/>
        </w:rPr>
        <w:t xml:space="preserve"> года</w:t>
      </w:r>
      <w:r>
        <w:rPr>
          <w:sz w:val="24"/>
        </w:rPr>
        <w:t xml:space="preserve">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тел. (48239)   3-14-65.</w:t>
      </w:r>
    </w:p>
    <w:p w:rsidR="003D0C68" w:rsidRDefault="003D0C68" w:rsidP="003D0C68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3703C7">
        <w:rPr>
          <w:rFonts w:ascii="Times New Roman" w:hAnsi="Times New Roman" w:cs="Times New Roman"/>
          <w:sz w:val="24"/>
          <w:szCs w:val="24"/>
        </w:rPr>
        <w:t>19.07</w:t>
      </w:r>
      <w:r w:rsidR="001C6FB7" w:rsidRPr="00733A01">
        <w:rPr>
          <w:rFonts w:ascii="Times New Roman" w:hAnsi="Times New Roman" w:cs="Times New Roman"/>
          <w:sz w:val="24"/>
          <w:szCs w:val="24"/>
        </w:rPr>
        <w:t>.</w:t>
      </w:r>
      <w:r w:rsidRPr="00733A01">
        <w:rPr>
          <w:rFonts w:ascii="Times New Roman" w:hAnsi="Times New Roman" w:cs="Times New Roman"/>
          <w:sz w:val="24"/>
          <w:szCs w:val="24"/>
        </w:rPr>
        <w:t>201</w:t>
      </w:r>
      <w:r w:rsidR="001C6FB7" w:rsidRPr="00733A01">
        <w:rPr>
          <w:rFonts w:ascii="Times New Roman" w:hAnsi="Times New Roman" w:cs="Times New Roman"/>
          <w:sz w:val="24"/>
          <w:szCs w:val="24"/>
        </w:rPr>
        <w:t>6</w:t>
      </w:r>
      <w:r w:rsidRPr="00733A01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80132">
        <w:rPr>
          <w:rFonts w:ascii="Times New Roman" w:hAnsi="Times New Roman" w:cs="Times New Roman"/>
          <w:sz w:val="24"/>
          <w:szCs w:val="24"/>
        </w:rPr>
        <w:t xml:space="preserve"> в 1</w:t>
      </w:r>
      <w:r w:rsidR="003703C7">
        <w:rPr>
          <w:rFonts w:ascii="Times New Roman" w:hAnsi="Times New Roman" w:cs="Times New Roman"/>
          <w:sz w:val="24"/>
          <w:szCs w:val="24"/>
        </w:rPr>
        <w:t>2</w:t>
      </w:r>
      <w:r w:rsidRPr="00180132">
        <w:rPr>
          <w:rFonts w:ascii="Times New Roman" w:hAnsi="Times New Roman" w:cs="Times New Roman"/>
          <w:sz w:val="24"/>
          <w:szCs w:val="24"/>
        </w:rPr>
        <w:t>:</w:t>
      </w:r>
      <w:r w:rsidR="003703C7">
        <w:rPr>
          <w:rFonts w:ascii="Times New Roman" w:hAnsi="Times New Roman" w:cs="Times New Roman"/>
          <w:sz w:val="24"/>
          <w:szCs w:val="24"/>
        </w:rPr>
        <w:t>0</w:t>
      </w:r>
      <w:r w:rsidRPr="00180132">
        <w:rPr>
          <w:rFonts w:ascii="Times New Roman" w:hAnsi="Times New Roman" w:cs="Times New Roman"/>
          <w:sz w:val="24"/>
          <w:szCs w:val="24"/>
        </w:rPr>
        <w:t>0 часо</w:t>
      </w:r>
      <w:r w:rsidRPr="00180132">
        <w:rPr>
          <w:rFonts w:ascii="Times New Roman" w:hAnsi="Times New Roman" w:cs="Times New Roman"/>
          <w:sz w:val="24"/>
        </w:rPr>
        <w:t xml:space="preserve">в 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3D0C68">
      <w:pPr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3703C7">
        <w:rPr>
          <w:rFonts w:ascii="Times New Roman" w:hAnsi="Times New Roman"/>
          <w:sz w:val="24"/>
        </w:rPr>
        <w:t>18.07</w:t>
      </w:r>
      <w:r w:rsidRPr="001C6FB7">
        <w:rPr>
          <w:rFonts w:ascii="Times New Roman" w:hAnsi="Times New Roman"/>
          <w:sz w:val="24"/>
        </w:rPr>
        <w:t>.</w:t>
      </w:r>
      <w:r w:rsidRPr="001C6FB7">
        <w:rPr>
          <w:rFonts w:ascii="Times New Roman" w:hAnsi="Times New Roman"/>
          <w:color w:val="FF0000"/>
          <w:sz w:val="24"/>
        </w:rPr>
        <w:t xml:space="preserve"> </w:t>
      </w:r>
      <w:r w:rsidRPr="001C6FB7">
        <w:rPr>
          <w:rFonts w:ascii="Times New Roman" w:hAnsi="Times New Roman"/>
          <w:sz w:val="24"/>
        </w:rPr>
        <w:t>201</w:t>
      </w:r>
      <w:r w:rsidR="001C6FB7" w:rsidRPr="001C6FB7">
        <w:rPr>
          <w:rFonts w:ascii="Times New Roman" w:hAnsi="Times New Roman"/>
          <w:sz w:val="24"/>
        </w:rPr>
        <w:t>6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3D0C68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7D51"/>
    <w:rsid w:val="00072392"/>
    <w:rsid w:val="000D72D0"/>
    <w:rsid w:val="000E7476"/>
    <w:rsid w:val="000F33A6"/>
    <w:rsid w:val="001069BF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80132"/>
    <w:rsid w:val="001B1587"/>
    <w:rsid w:val="001B64F9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2169C"/>
    <w:rsid w:val="00246218"/>
    <w:rsid w:val="00247458"/>
    <w:rsid w:val="002C46A6"/>
    <w:rsid w:val="002D47C2"/>
    <w:rsid w:val="002D7FFB"/>
    <w:rsid w:val="002E23C9"/>
    <w:rsid w:val="002F6EFC"/>
    <w:rsid w:val="003117CE"/>
    <w:rsid w:val="00317454"/>
    <w:rsid w:val="003176B0"/>
    <w:rsid w:val="003314B4"/>
    <w:rsid w:val="00345B3C"/>
    <w:rsid w:val="0035247F"/>
    <w:rsid w:val="0035361B"/>
    <w:rsid w:val="00354141"/>
    <w:rsid w:val="003703C7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43C8"/>
    <w:rsid w:val="00444B0C"/>
    <w:rsid w:val="00451048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73FCD"/>
    <w:rsid w:val="00584A0E"/>
    <w:rsid w:val="00585F69"/>
    <w:rsid w:val="005959B3"/>
    <w:rsid w:val="005A32D9"/>
    <w:rsid w:val="005A798A"/>
    <w:rsid w:val="005C0AA7"/>
    <w:rsid w:val="005E36E7"/>
    <w:rsid w:val="005E4D0A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4680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34444"/>
    <w:rsid w:val="00943B4B"/>
    <w:rsid w:val="00945762"/>
    <w:rsid w:val="00955C03"/>
    <w:rsid w:val="00961B74"/>
    <w:rsid w:val="00962D1E"/>
    <w:rsid w:val="00972437"/>
    <w:rsid w:val="00973445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65E82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D3FA4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1745</Words>
  <Characters>9951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11673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2</cp:revision>
  <cp:lastPrinted>2016-06-20T13:54:00Z</cp:lastPrinted>
  <dcterms:created xsi:type="dcterms:W3CDTF">2016-06-21T09:21:00Z</dcterms:created>
  <dcterms:modified xsi:type="dcterms:W3CDTF">2016-06-21T09:21:00Z</dcterms:modified>
</cp:coreProperties>
</file>