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162300" cy="1109511"/>
                <wp:effectExtent l="19050" t="0" r="0" b="0"/>
                <wp:docPr id="2" name="Рисунок 1" descr="C:\Users\mes\Downloads\Основное лого 2 Тверская область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es\Downloads\Основное лого 2 Тверская область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3162300" cy="11095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249.00pt;height:87.36pt;mso-wrap-distance-left:0.00pt;mso-wrap-distance-top:0.00pt;mso-wrap-distance-right:0.00pt;mso-wrap-distance-bottom:0.00pt;" stroked="f" strokeweight="0.75pt">
                <v:path textboxrect="0,0,0,0"/>
                <v:imagedata r:id="rId16" o:title=""/>
              </v:shape>
            </w:pict>
          </mc:Fallback>
        </mc:AlternateContent>
      </w:r>
      <w:r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</w:t>
      </w:r>
      <w:r>
        <w:rPr>
          <w:rFonts w:ascii="Arial Black" w:hAnsi="Arial Black" w:cs="Arial Black"/>
          <w:sz w:val="32"/>
          <w:szCs w:val="32"/>
        </w:rPr>
        <w:t xml:space="preserve">   </w:t>
      </w:r>
      <w:r>
        <w:rPr>
          <w:rFonts w:ascii="Arial" w:hAnsi="Arial" w:cs="Arial"/>
          <w:b/>
          <w:bCs/>
          <w:sz w:val="32"/>
          <w:szCs w:val="32"/>
        </w:rPr>
        <w:t xml:space="preserve">ПРЕСС-РЕЛИЗ</w:t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ind w:left="-142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ind w:left="708" w:firstLine="708"/>
        <w:jc w:val="both"/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jc w:val="both"/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Информацию об актуальной кадастровой стоимости объектов недвижимости </w:t>
      </w:r>
      <w:r>
        <w:rPr>
          <w:rFonts w:ascii="Arial" w:hAnsi="Arial" w:cs="Arial"/>
          <w:sz w:val="32"/>
          <w:szCs w:val="32"/>
        </w:rPr>
        <w:t xml:space="preserve">в Тверской области </w:t>
      </w:r>
      <w:r>
        <w:rPr>
          <w:rFonts w:ascii="Arial" w:hAnsi="Arial" w:cs="Arial"/>
          <w:sz w:val="32"/>
          <w:szCs w:val="32"/>
        </w:rPr>
        <w:t xml:space="preserve">можно получить на сайте Росреестра</w:t>
      </w:r>
      <w:r>
        <w:rPr>
          <w:rFonts w:ascii="Arial" w:hAnsi="Arial" w:cs="Arial"/>
          <w:sz w:val="32"/>
          <w:szCs w:val="32"/>
        </w:rPr>
      </w:r>
    </w:p>
    <w:p>
      <w:pPr>
        <w:jc w:val="both"/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Г</w:t>
      </w:r>
      <w:r>
        <w:rPr>
          <w:rFonts w:ascii="Arial" w:hAnsi="Arial" w:cs="Arial"/>
        </w:rPr>
        <w:t xml:space="preserve">осударственная кадастровая оценка объектов капитального строительства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проводилась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Верхневолжье</w:t>
      </w:r>
      <w:r>
        <w:rPr>
          <w:rFonts w:ascii="Arial" w:hAnsi="Arial" w:cs="Arial"/>
        </w:rPr>
        <w:t xml:space="preserve"> в</w:t>
      </w:r>
      <w:r>
        <w:rPr>
          <w:rFonts w:ascii="Arial" w:hAnsi="Arial" w:cs="Arial"/>
        </w:rPr>
        <w:t xml:space="preserve"> 2023 году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Речь идет о по</w:t>
      </w:r>
      <w:r>
        <w:rPr>
          <w:rFonts w:ascii="Arial" w:hAnsi="Arial" w:cs="Arial"/>
        </w:rPr>
        <w:t xml:space="preserve">чти 1,2 млн объектов, сведения о которых содержатся в Едином государственном реестре недвижимости (ЕГРН). Исполнителем работ по определению кадастровой стоимости объектов капитального строительства, включенных в перечень оценки, </w:t>
      </w:r>
      <w:r>
        <w:rPr>
          <w:rFonts w:ascii="Arial" w:hAnsi="Arial" w:cs="Arial"/>
        </w:rPr>
        <w:t xml:space="preserve">стало</w:t>
      </w:r>
      <w:r>
        <w:rPr>
          <w:rFonts w:ascii="Arial" w:hAnsi="Arial" w:cs="Arial"/>
        </w:rPr>
        <w:t xml:space="preserve"> ГБУ Тверской области «Центр кадастровой оценки</w:t>
      </w:r>
      <w:r>
        <w:rPr>
          <w:rFonts w:ascii="Arial" w:hAnsi="Arial" w:cs="Arial"/>
        </w:rPr>
        <w:t xml:space="preserve"> и технической инвентаризации</w:t>
      </w:r>
      <w:r>
        <w:rPr>
          <w:rFonts w:ascii="Arial" w:hAnsi="Arial" w:cs="Arial"/>
        </w:rPr>
        <w:t xml:space="preserve">».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Результаты определения кадастровой стоимости в отношении всех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учтенных в ЕГРН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по состоянию на 1</w:t>
      </w:r>
      <w:r>
        <w:rPr>
          <w:rFonts w:ascii="Arial" w:hAnsi="Arial" w:cs="Arial"/>
        </w:rPr>
        <w:t xml:space="preserve"> января </w:t>
      </w:r>
      <w:r>
        <w:rPr>
          <w:rFonts w:ascii="Arial" w:hAnsi="Arial" w:cs="Arial"/>
        </w:rPr>
        <w:t xml:space="preserve">2023</w:t>
      </w:r>
      <w:r>
        <w:rPr>
          <w:rFonts w:ascii="Arial" w:hAnsi="Arial" w:cs="Arial"/>
        </w:rPr>
        <w:t xml:space="preserve"> года</w:t>
      </w:r>
      <w:r>
        <w:rPr>
          <w:rFonts w:ascii="Arial" w:hAnsi="Arial" w:cs="Arial"/>
        </w:rPr>
        <w:t xml:space="preserve"> зданий, помещений, сооружений, объектов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незавершенного строительства, машино-мест утверждены приказом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Министерства имущественных и земельных отношений Тверской области от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29.12.2023 № 19-нп.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Отчет об итогах государственной кадастровой оценки объек</w:t>
      </w:r>
      <w:r>
        <w:rPr>
          <w:rFonts w:ascii="Arial" w:hAnsi="Arial" w:cs="Arial"/>
        </w:rPr>
        <w:t xml:space="preserve">тов недвижимости от 19.10.2023 № 04/2023-ОКС, содержащий сведения об актуализированной кадастровой стоимости в отношении каждого объекта недвижимости, включенного в перечень объектов оценки, опубликован на официальном интернет-портале правовой информации: </w:t>
      </w:r>
      <w:hyperlink r:id="rId17" w:tooltip="http://publication.pravo.gov.ru/documents/block/region69" w:history="1">
        <w:r>
          <w:rPr>
            <w:rStyle w:val="749"/>
            <w:rFonts w:ascii="Arial" w:hAnsi="Arial" w:cs="Arial"/>
          </w:rPr>
          <w:t xml:space="preserve">http://publication.pravo.gov.ru/documents/block/region69</w:t>
        </w:r>
      </w:hyperlink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, официальном сайте Министерства имущественных и земельных отношений Тверской области </w:t>
      </w:r>
      <w:hyperlink r:id="rId18" w:tooltip="https://мизо.тверскаяобласть.рф/" w:history="1">
        <w:r>
          <w:rPr>
            <w:rStyle w:val="749"/>
            <w:rFonts w:ascii="Arial" w:hAnsi="Arial" w:cs="Arial"/>
          </w:rPr>
          <w:t xml:space="preserve">https://мизо.тверскаяобласть.рф/</w:t>
        </w:r>
      </w:hyperlink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 xml:space="preserve">Заместитель руководителя Управления Ро</w:t>
      </w:r>
      <w:bookmarkStart w:id="0" w:name="_GoBack"/>
      <w:r/>
      <w:bookmarkEnd w:id="0"/>
      <w:r>
        <w:rPr>
          <w:rFonts w:ascii="Arial" w:hAnsi="Arial" w:cs="Arial"/>
          <w:b/>
        </w:rPr>
        <w:t xml:space="preserve">среестра по Тверской области Андрей Тяпкин: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 xml:space="preserve">«</w:t>
      </w:r>
      <w:r>
        <w:rPr>
          <w:rFonts w:ascii="Arial" w:hAnsi="Arial" w:cs="Arial"/>
          <w:i/>
        </w:rPr>
        <w:t xml:space="preserve">Всю и</w:t>
      </w:r>
      <w:r>
        <w:rPr>
          <w:rFonts w:ascii="Arial" w:hAnsi="Arial" w:cs="Arial"/>
          <w:i/>
        </w:rPr>
        <w:t xml:space="preserve">нформацию об актуальной кадастровой стоимости объектов недвижимости можно получит</w:t>
      </w:r>
      <w:r>
        <w:rPr>
          <w:rFonts w:ascii="Arial" w:hAnsi="Arial" w:cs="Arial"/>
          <w:i/>
        </w:rPr>
        <w:t xml:space="preserve">ь, обратившись к онлайн-сервис</w:t>
      </w:r>
      <w:r>
        <w:rPr>
          <w:rFonts w:ascii="Arial" w:hAnsi="Arial" w:cs="Arial"/>
          <w:i/>
        </w:rPr>
        <w:t xml:space="preserve">у</w:t>
      </w:r>
      <w:r>
        <w:rPr>
          <w:rFonts w:ascii="Arial" w:hAnsi="Arial" w:cs="Arial"/>
          <w:i/>
        </w:rPr>
        <w:t xml:space="preserve"> </w:t>
      </w:r>
      <w:hyperlink r:id="rId19" w:tooltip="https://nspd.gov.ru/map" w:history="1">
        <w:r>
          <w:rPr>
            <w:rStyle w:val="749"/>
            <w:rFonts w:ascii="Arial" w:hAnsi="Arial" w:cs="Arial"/>
            <w:i/>
          </w:rPr>
          <w:t xml:space="preserve">Карта</w:t>
        </w:r>
      </w:hyperlink>
      <w:r>
        <w:rPr>
          <w:rFonts w:ascii="Arial" w:hAnsi="Arial" w:cs="Arial"/>
          <w:i/>
        </w:rPr>
        <w:t xml:space="preserve"> Портала пространственных данных Национальная система пространственных данных (за исключением помещений), а также </w:t>
      </w:r>
      <w:r>
        <w:rPr>
          <w:rFonts w:ascii="Arial" w:hAnsi="Arial" w:cs="Arial"/>
          <w:i/>
        </w:rPr>
        <w:t xml:space="preserve">официального </w:t>
      </w:r>
      <w:r>
        <w:rPr>
          <w:rFonts w:ascii="Arial" w:hAnsi="Arial" w:cs="Arial"/>
          <w:i/>
        </w:rPr>
        <w:t xml:space="preserve">сайта</w:t>
      </w:r>
      <w:r>
        <w:rPr>
          <w:rFonts w:ascii="Arial" w:hAnsi="Arial" w:cs="Arial"/>
          <w:i/>
        </w:rPr>
        <w:t xml:space="preserve"> Росреестра</w:t>
      </w:r>
      <w:r>
        <w:rPr>
          <w:rFonts w:ascii="Arial" w:hAnsi="Arial" w:cs="Arial"/>
          <w:i/>
        </w:rPr>
        <w:t xml:space="preserve"> </w:t>
      </w:r>
      <w:hyperlink r:id="rId20" w:tooltip="https://lk.rosreestr.ru/eservices/real-estate-objects-online" w:history="1">
        <w:r>
          <w:rPr>
            <w:rStyle w:val="749"/>
            <w:rFonts w:ascii="Arial" w:hAnsi="Arial" w:cs="Arial"/>
            <w:i/>
          </w:rPr>
          <w:t xml:space="preserve">С</w:t>
        </w:r>
        <w:r>
          <w:rPr>
            <w:rStyle w:val="749"/>
            <w:rFonts w:ascii="Arial" w:hAnsi="Arial" w:cs="Arial"/>
            <w:i/>
          </w:rPr>
          <w:t xml:space="preserve">правочная информация по объектам недвижимости в режиме </w:t>
        </w:r>
        <w:r>
          <w:rPr>
            <w:rStyle w:val="749"/>
            <w:rFonts w:ascii="Arial" w:hAnsi="Arial" w:cs="Arial"/>
            <w:i/>
          </w:rPr>
          <w:t xml:space="preserve">online</w:t>
        </w:r>
      </w:hyperlink>
      <w:r>
        <w:rPr>
          <w:rFonts w:ascii="Arial" w:hAnsi="Arial" w:cs="Arial"/>
          <w:i/>
        </w:rPr>
        <w:t xml:space="preserve">.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При использовании справочного сервиса достаточно лишь указать адрес или кадастровый номер объекта недвижимости и выбрать вид объекта. Сведения предоставляются незамедлительно. Среди них – актуальная кадастровая стоимость с указанием даты </w:t>
      </w:r>
      <w:r>
        <w:rPr>
          <w:rFonts w:ascii="Arial" w:hAnsi="Arial" w:cs="Arial"/>
          <w:i/>
        </w:rPr>
        <w:t xml:space="preserve">ее </w:t>
      </w:r>
      <w:r>
        <w:rPr>
          <w:rFonts w:ascii="Arial" w:hAnsi="Arial" w:cs="Arial"/>
          <w:i/>
        </w:rPr>
        <w:t xml:space="preserve">внесения в ЕГРН</w:t>
      </w:r>
      <w:r>
        <w:rPr>
          <w:rFonts w:ascii="Arial" w:hAnsi="Arial" w:cs="Arial"/>
          <w:i/>
        </w:rPr>
        <w:t xml:space="preserve">. Кроме того, собственники могут заказать бесплатную онлайн-выписку по своим объектам недвижимости на портале Госуслуг в разделе «</w:t>
      </w:r>
      <w:r>
        <w:rPr>
          <w:rFonts w:ascii="Arial" w:hAnsi="Arial" w:cs="Arial"/>
          <w:i/>
        </w:rPr>
        <w:t xml:space="preserve">Земля.Дом</w:t>
      </w:r>
      <w:r>
        <w:rPr>
          <w:rFonts w:ascii="Arial" w:hAnsi="Arial" w:cs="Arial"/>
          <w:i/>
        </w:rPr>
        <w:t xml:space="preserve">». В ней также будет содержаться информация об актуальной кадастровой стоимости объект</w:t>
      </w:r>
      <w:r>
        <w:rPr>
          <w:rFonts w:ascii="Arial" w:hAnsi="Arial" w:cs="Arial"/>
          <w:i/>
        </w:rPr>
        <w:t xml:space="preserve">а</w:t>
      </w:r>
      <w:r>
        <w:rPr>
          <w:rFonts w:ascii="Arial" w:hAnsi="Arial" w:cs="Arial"/>
          <w:i/>
        </w:rPr>
        <w:t xml:space="preserve"> недвижимости, </w:t>
      </w:r>
      <w:r>
        <w:rPr>
          <w:rFonts w:ascii="Arial" w:hAnsi="Arial" w:cs="Arial"/>
          <w:i/>
        </w:rPr>
        <w:t xml:space="preserve">на который был оформлен</w:t>
      </w:r>
      <w:r>
        <w:rPr>
          <w:rFonts w:ascii="Arial" w:hAnsi="Arial" w:cs="Arial"/>
          <w:i/>
        </w:rPr>
        <w:t xml:space="preserve"> запрос»</w:t>
      </w:r>
      <w:r>
        <w:rPr>
          <w:rFonts w:ascii="Arial" w:hAnsi="Arial" w:cs="Arial"/>
          <w:i/>
        </w:rPr>
        <w:t xml:space="preserve">. </w:t>
      </w:r>
      <w:r>
        <w:rPr>
          <w:rFonts w:ascii="Arial" w:hAnsi="Arial" w:cs="Arial"/>
          <w:i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 соответствии с требованиями статьи 18 </w:t>
      </w:r>
      <w:r>
        <w:rPr>
          <w:rFonts w:ascii="Arial" w:hAnsi="Arial" w:cs="Arial"/>
        </w:rPr>
        <w:t xml:space="preserve">Федерального з</w:t>
      </w:r>
      <w:r>
        <w:rPr>
          <w:rFonts w:ascii="Arial" w:hAnsi="Arial" w:cs="Arial"/>
        </w:rPr>
        <w:t xml:space="preserve">акона</w:t>
      </w:r>
      <w:r>
        <w:rPr>
          <w:rFonts w:ascii="Arial" w:hAnsi="Arial" w:cs="Arial"/>
        </w:rPr>
        <w:t xml:space="preserve"> от 03.07.2016</w:t>
      </w:r>
      <w:r>
        <w:rPr>
          <w:rFonts w:ascii="Arial" w:hAnsi="Arial" w:cs="Arial"/>
        </w:rPr>
        <w:t xml:space="preserve"> № 237-ФЗ «О государственной кадастровой оценке» сведения </w:t>
      </w:r>
      <w:r>
        <w:rPr>
          <w:rFonts w:ascii="Arial" w:hAnsi="Arial" w:cs="Arial"/>
        </w:rPr>
        <w:t xml:space="preserve">о кадастровой стоимости объектов недвижимости (за исключением земельных участков), утвержденные и внесенные в ЕГРН, будут применятся для целей, предусмотренных законодательством Российской Федерации, в том числе и для налогообложения, с 1 января 2025 года.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</w:t>
      </w:r>
      <w:r>
        <w:rPr>
          <w:rFonts w:ascii="Arial" w:hAnsi="Arial" w:cs="Arial"/>
        </w:rPr>
        <w:t xml:space="preserve">еличина кадастровой стоимости в отношении отдельных объектов недвижимости может быть изменена по следующим основаниям: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в порядке, предусмотренном ст. 16 Закона № 237-ФЗ, в случае внесения изменений в характеристики объекта недвижимости, содержащиеся в ЕГРН, в том числе, в части вида разрешенного использования, назначения, наименования, местоположения, площади и т.д.;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в порядке, предусмотренном ст. 21 Закона № 237-ФЗ, в случае наличия ошибки, допущенной при определении кадастровой стоимости, по заявительному принципу;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в порядке, пр</w:t>
      </w:r>
      <w:r>
        <w:rPr>
          <w:rFonts w:ascii="Arial" w:hAnsi="Arial" w:cs="Arial"/>
        </w:rPr>
        <w:t xml:space="preserve">едусмотренном ст. 22.1 Закона № 237-ФЗ, в случае установления кадастровой стоимости в размере рыночной стоимости по обращению собственника, правообладателя либо законного представителя с приложением отчета об оценке рыночной стоимости объекта недвижимости.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 целях уточнения информации о порядке определения</w:t>
      </w:r>
      <w:r>
        <w:rPr>
          <w:rFonts w:ascii="Arial" w:hAnsi="Arial" w:cs="Arial"/>
        </w:rPr>
        <w:t xml:space="preserve"> кадастровой стоимости и её корректировки (в случае наличия соответствующих оснований) правообладатели объектов недвижимости либо иные заинтересованные лица могут обратиться в ГБУ «Центр кадастровой оценки» с обращениями, предусмотренными статьями 20 и 21 </w:t>
      </w:r>
      <w:r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Закона №237-ФЗ, в отношении конкретного объекта недвижимости: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</w:t>
      </w:r>
      <w:r>
        <w:rPr>
          <w:rFonts w:ascii="Arial" w:hAnsi="Arial" w:cs="Arial"/>
        </w:rPr>
        <w:tab/>
        <w:t xml:space="preserve">обращение о предоставлении разъяснений, связанных с определением кадастровой стоимости;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</w:t>
      </w:r>
      <w:r>
        <w:rPr>
          <w:rFonts w:ascii="Arial" w:hAnsi="Arial" w:cs="Arial"/>
        </w:rPr>
        <w:tab/>
        <w:t xml:space="preserve">заявление об исправлении ошибок, допущенных при определении кадастровой стоимости (при наличии оснований, с приложением подтверждающих документов).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Информация о порядке подачи и рассмотрения указанных обращений размещена на </w:t>
      </w:r>
      <w:hyperlink r:id="rId21" w:tooltip="https://tverbti.ru/kadastrovaya-oczenka/obrashhenie-v-ramkah-gko/" w:history="1">
        <w:r>
          <w:rPr>
            <w:rStyle w:val="749"/>
            <w:rFonts w:ascii="Arial" w:hAnsi="Arial" w:cs="Arial"/>
          </w:rPr>
          <w:t xml:space="preserve">сайте ГБУ «Центр кадастровой оценки»</w:t>
        </w:r>
      </w:hyperlink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Бланки заявлений и образцы их заполнения доступны для скачивания по ссылке: </w:t>
      </w:r>
      <w:hyperlink r:id="rId22" w:tooltip="https://tverbti.ru/dokuments/blanka-zayavlenij/" w:history="1">
        <w:r>
          <w:rPr>
            <w:rStyle w:val="749"/>
            <w:rFonts w:ascii="Arial" w:hAnsi="Arial" w:cs="Arial"/>
          </w:rPr>
          <w:t xml:space="preserve">https://tverbti.ru/dokuments/blanka-zayavlenij/</w:t>
        </w:r>
      </w:hyperlink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Кроме того, по всем интересующим вопросам в части определения кадастровой стоимости объектов недвижимости </w:t>
      </w:r>
      <w:r>
        <w:rPr>
          <w:rFonts w:ascii="Arial" w:hAnsi="Arial" w:cs="Arial"/>
        </w:rPr>
        <w:t xml:space="preserve">в ГБУ «Центр кадастровой оценки» </w:t>
      </w:r>
      <w:r>
        <w:rPr>
          <w:rFonts w:ascii="Arial" w:hAnsi="Arial" w:cs="Arial"/>
        </w:rPr>
        <w:t xml:space="preserve">можно обратиться следующими способами: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направить обращение </w:t>
      </w:r>
      <w:r>
        <w:rPr>
          <w:rFonts w:ascii="Arial" w:hAnsi="Arial" w:cs="Arial"/>
        </w:rPr>
        <w:t xml:space="preserve">по адресу</w:t>
      </w:r>
      <w:r>
        <w:rPr>
          <w:rFonts w:ascii="Arial" w:hAnsi="Arial" w:cs="Arial"/>
        </w:rPr>
        <w:t xml:space="preserve">: 170008, г. Тверь, ул. 15-лет Октября, д. 39</w:t>
      </w:r>
      <w:r>
        <w:rPr>
          <w:rFonts w:ascii="Arial" w:hAnsi="Arial" w:cs="Arial"/>
        </w:rPr>
        <w:t xml:space="preserve">;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посредством </w:t>
      </w:r>
      <w:r>
        <w:rPr>
          <w:rFonts w:ascii="Arial" w:hAnsi="Arial" w:cs="Arial"/>
        </w:rPr>
        <w:t xml:space="preserve">электронн</w:t>
      </w:r>
      <w:r>
        <w:rPr>
          <w:rFonts w:ascii="Arial" w:hAnsi="Arial" w:cs="Arial"/>
        </w:rPr>
        <w:t xml:space="preserve">ой</w:t>
      </w:r>
      <w:r>
        <w:rPr>
          <w:rFonts w:ascii="Arial" w:hAnsi="Arial" w:cs="Arial"/>
        </w:rPr>
        <w:t xml:space="preserve"> почт</w:t>
      </w:r>
      <w:r>
        <w:rPr>
          <w:rFonts w:ascii="Arial" w:hAnsi="Arial" w:cs="Arial"/>
        </w:rPr>
        <w:t xml:space="preserve">ы</w:t>
      </w:r>
      <w:r>
        <w:rPr>
          <w:rFonts w:ascii="Arial" w:hAnsi="Arial" w:cs="Arial"/>
        </w:rPr>
        <w:t xml:space="preserve">: info@tverbti.ru</w:t>
      </w:r>
      <w:r>
        <w:rPr>
          <w:rFonts w:ascii="Arial" w:hAnsi="Arial" w:cs="Arial"/>
        </w:rPr>
        <w:t xml:space="preserve">;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через </w:t>
      </w:r>
      <w:r>
        <w:rPr>
          <w:rFonts w:ascii="Arial" w:hAnsi="Arial" w:cs="Arial"/>
        </w:rPr>
        <w:t xml:space="preserve">официальный сайт: https://tverbti.ru/</w:t>
      </w:r>
      <w:r>
        <w:rPr>
          <w:rFonts w:ascii="Arial" w:hAnsi="Arial" w:cs="Arial"/>
        </w:rPr>
        <w:t xml:space="preserve">;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</w:t>
      </w:r>
      <w:r>
        <w:rPr>
          <w:rFonts w:ascii="Arial" w:hAnsi="Arial" w:cs="Arial"/>
        </w:rPr>
        <w:tab/>
        <w:t xml:space="preserve">запись на личный прием по телефону: 8(4822)78-48-38 (доб. 706).</w:t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both"/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Cs/>
        </w:rPr>
        <w:br/>
      </w: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50799</wp:posOffset>
                </wp:positionV>
                <wp:extent cx="6000750" cy="0"/>
                <wp:effectExtent l="0" t="0" r="0" b="0"/>
                <wp:wrapNone/>
                <wp:docPr id="3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" o:spid="_x0000_s2" o:spt="32" type="#_x0000_t32" style="position:absolute;z-index:251659264;o:allowoverlap:true;o:allowincell:true;mso-position-horizontal-relative:text;margin-left:-8.55pt;mso-position-horizontal:absolute;mso-position-vertical-relative:text;margin-top:4.00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  <w:lang w:eastAsia="ru-RU"/>
        </w:rPr>
        <w:t xml:space="preserve">О Росреестре</w:t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bCs/>
          <w:sz w:val="20"/>
          <w:szCs w:val="20"/>
          <w:lang w:eastAsia="ru-RU"/>
        </w:rPr>
        <w:t xml:space="preserve"> </w:t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</w:t>
      </w:r>
      <w:r>
        <w:rPr>
          <w:rFonts w:ascii="Arial" w:hAnsi="Arial" w:cs="Arial"/>
          <w:sz w:val="20"/>
          <w:szCs w:val="20"/>
          <w:lang w:eastAsia="ru-RU"/>
        </w:rPr>
        <w:t xml:space="preserve">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</w:t>
      </w:r>
      <w:r>
        <w:rPr>
          <w:rFonts w:ascii="Arial" w:hAnsi="Arial" w:cs="Arial"/>
          <w:sz w:val="20"/>
          <w:szCs w:val="20"/>
          <w:lang w:eastAsia="ru-RU"/>
        </w:rPr>
        <w:t xml:space="preserve">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Arial Unicode MS" w:cs="Segoe UI"/>
          <w:b/>
          <w:bCs/>
          <w:sz w:val="20"/>
          <w:szCs w:val="20"/>
          <w:lang w:eastAsia="sk-SK"/>
        </w:rPr>
      </w:pPr>
      <w:r>
        <w:rPr>
          <w:rFonts w:ascii="Segoe UI" w:hAnsi="Segoe UI" w:eastAsia="Arial Unicode MS" w:cs="Segoe UI"/>
          <w:b/>
          <w:bCs/>
          <w:sz w:val="20"/>
          <w:szCs w:val="20"/>
          <w:lang w:eastAsia="sk-SK"/>
        </w:rPr>
      </w:r>
      <w:r>
        <w:rPr>
          <w:rFonts w:ascii="Segoe UI" w:hAnsi="Segoe UI" w:eastAsia="Arial Unicode MS" w:cs="Segoe UI"/>
          <w:b/>
          <w:bCs/>
          <w:sz w:val="20"/>
          <w:szCs w:val="20"/>
          <w:lang w:eastAsia="sk-SK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Symbol">
    <w:panose1 w:val="05010000000000000000"/>
  </w:font>
  <w:font w:name="Arial Black">
    <w:panose1 w:val="020B0A04020102020204"/>
  </w:font>
  <w:font w:name="Source Serif Pro">
    <w:panose1 w:val="02000603000000000000"/>
  </w:font>
  <w:font w:name="Tahoma">
    <w:panose1 w:val="020B060403050404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6"/>
    </w:pPr>
    <w:r>
      <w:rPr>
        <w:lang w:eastAsia="ru-RU"/>
      </w:rPr>
      <mc:AlternateContent>
        <mc:Choice Requires="wpg">
          <w:drawing>
            <wp:inline xmlns:wp="http://schemas.openxmlformats.org/drawingml/2006/wordprocessingDrawing" distT="0" distB="0" distL="0" distR="0">
              <wp:extent cx="9526" cy="9526"/>
              <wp:effectExtent l="0" t="0" r="0" b="0"/>
              <wp:docPr id="1" name="Рисунок 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"/>
                      <pic:cNvPicPr/>
                      <pic:nvPr/>
                    </pic:nvPicPr>
                    <pic:blipFill>
                      <a:blip/>
                      <a:stretch/>
                    </pic:blipFill>
                    <pic:spPr bwMode="auto">
                      <a:xfrm>
                        <a:off x="0" y="0"/>
                        <a:ext cx="9526" cy="952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0.75pt;height:0.75pt;mso-wrap-distance-left:0.00pt;mso-wrap-distance-top:0.00pt;mso-wrap-distance-right:0.00pt;mso-wrap-distance-bottom:0.00pt;" stroked="false">
              <v:path textboxrect="0,0,0,0"/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left" w:pos="144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left" w:pos="216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left" w:pos="360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left" w:pos="43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left" w:pos="576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left" w:pos="6480" w:leader="none"/>
        </w:tabs>
      </w:pPr>
      <w:rPr>
        <w:rFonts w:ascii="Symbol" w:hAnsi="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egoe UI" w:hAnsi="Segoe UI" w:eastAsia="Times New Roman" w:cs="Segoe U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left" w:pos="144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left" w:pos="216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left" w:pos="360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left" w:pos="43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left" w:pos="576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left" w:pos="6480" w:leader="none"/>
        </w:tabs>
      </w:pPr>
      <w:rPr>
        <w:rFonts w:ascii="Symbol" w:hAnsi="Symbol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44"/>
    <w:link w:val="74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42"/>
    <w:next w:val="74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4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42"/>
    <w:next w:val="74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4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42"/>
    <w:next w:val="74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4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42"/>
    <w:next w:val="74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4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42"/>
    <w:next w:val="74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4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42"/>
    <w:next w:val="74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4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42"/>
    <w:next w:val="74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4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42"/>
    <w:next w:val="74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4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42"/>
    <w:next w:val="74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44"/>
    <w:link w:val="34"/>
    <w:uiPriority w:val="10"/>
    <w:rPr>
      <w:sz w:val="48"/>
      <w:szCs w:val="48"/>
    </w:rPr>
  </w:style>
  <w:style w:type="paragraph" w:styleId="36">
    <w:name w:val="Subtitle"/>
    <w:basedOn w:val="742"/>
    <w:next w:val="74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44"/>
    <w:link w:val="36"/>
    <w:uiPriority w:val="11"/>
    <w:rPr>
      <w:sz w:val="24"/>
      <w:szCs w:val="24"/>
    </w:rPr>
  </w:style>
  <w:style w:type="paragraph" w:styleId="38">
    <w:name w:val="Quote"/>
    <w:basedOn w:val="742"/>
    <w:next w:val="74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42"/>
    <w:next w:val="74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44"/>
    <w:link w:val="754"/>
    <w:uiPriority w:val="99"/>
  </w:style>
  <w:style w:type="character" w:styleId="45">
    <w:name w:val="Footer Char"/>
    <w:basedOn w:val="744"/>
    <w:link w:val="756"/>
    <w:uiPriority w:val="99"/>
  </w:style>
  <w:style w:type="paragraph" w:styleId="46">
    <w:name w:val="Caption"/>
    <w:basedOn w:val="742"/>
    <w:next w:val="7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56"/>
    <w:uiPriority w:val="99"/>
  </w:style>
  <w:style w:type="table" w:styleId="48">
    <w:name w:val="Table Grid"/>
    <w:basedOn w:val="7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4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44"/>
    <w:uiPriority w:val="99"/>
    <w:unhideWhenUsed/>
    <w:rPr>
      <w:vertAlign w:val="superscript"/>
    </w:rPr>
  </w:style>
  <w:style w:type="paragraph" w:styleId="178">
    <w:name w:val="endnote text"/>
    <w:basedOn w:val="74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44"/>
    <w:uiPriority w:val="99"/>
    <w:semiHidden/>
    <w:unhideWhenUsed/>
    <w:rPr>
      <w:vertAlign w:val="superscript"/>
    </w:rPr>
  </w:style>
  <w:style w:type="paragraph" w:styleId="181">
    <w:name w:val="toc 1"/>
    <w:basedOn w:val="742"/>
    <w:next w:val="74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42"/>
    <w:next w:val="74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42"/>
    <w:next w:val="74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42"/>
    <w:next w:val="74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42"/>
    <w:next w:val="74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42"/>
    <w:next w:val="74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42"/>
    <w:next w:val="74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42"/>
    <w:next w:val="74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42"/>
    <w:next w:val="74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42"/>
    <w:next w:val="742"/>
    <w:uiPriority w:val="99"/>
    <w:unhideWhenUsed/>
    <w:pPr>
      <w:spacing w:after="0" w:afterAutospacing="0"/>
    </w:pPr>
  </w:style>
  <w:style w:type="paragraph" w:styleId="742" w:default="1">
    <w:name w:val="Normal"/>
    <w:qFormat/>
  </w:style>
  <w:style w:type="paragraph" w:styleId="743">
    <w:name w:val="Heading 1"/>
    <w:basedOn w:val="742"/>
    <w:link w:val="752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744" w:default="1">
    <w:name w:val="Default Paragraph Font"/>
    <w:uiPriority w:val="1"/>
    <w:semiHidden/>
    <w:unhideWhenUsed/>
  </w:style>
  <w:style w:type="table" w:styleId="7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6" w:default="1">
    <w:name w:val="No List"/>
    <w:uiPriority w:val="99"/>
    <w:semiHidden/>
    <w:unhideWhenUsed/>
  </w:style>
  <w:style w:type="character" w:styleId="747">
    <w:name w:val="Strong"/>
    <w:basedOn w:val="744"/>
    <w:uiPriority w:val="22"/>
    <w:qFormat/>
    <w:rPr>
      <w:b/>
      <w:bCs/>
    </w:rPr>
  </w:style>
  <w:style w:type="paragraph" w:styleId="748">
    <w:name w:val="Normal (Web)"/>
    <w:basedOn w:val="742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49">
    <w:name w:val="Hyperlink"/>
    <w:basedOn w:val="744"/>
    <w:uiPriority w:val="99"/>
    <w:rPr>
      <w:color w:val="0000ff"/>
      <w:u w:val="single"/>
    </w:rPr>
  </w:style>
  <w:style w:type="paragraph" w:styleId="750">
    <w:name w:val="Balloon Text"/>
    <w:basedOn w:val="742"/>
    <w:link w:val="75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51" w:customStyle="1">
    <w:name w:val="Текст выноски Знак"/>
    <w:basedOn w:val="744"/>
    <w:link w:val="750"/>
    <w:uiPriority w:val="99"/>
    <w:semiHidden/>
    <w:rPr>
      <w:rFonts w:ascii="Tahoma" w:hAnsi="Tahoma" w:cs="Tahoma"/>
      <w:sz w:val="16"/>
      <w:szCs w:val="16"/>
    </w:rPr>
  </w:style>
  <w:style w:type="character" w:styleId="752" w:customStyle="1">
    <w:name w:val="Заголовок 1 Знак"/>
    <w:basedOn w:val="744"/>
    <w:link w:val="743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753">
    <w:name w:val="Emphasis"/>
    <w:basedOn w:val="744"/>
    <w:uiPriority w:val="20"/>
    <w:qFormat/>
    <w:rPr>
      <w:i/>
      <w:iCs/>
    </w:rPr>
  </w:style>
  <w:style w:type="paragraph" w:styleId="754">
    <w:name w:val="Header"/>
    <w:basedOn w:val="742"/>
    <w:link w:val="75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55" w:customStyle="1">
    <w:name w:val="Верхний колонтитул Знак"/>
    <w:basedOn w:val="744"/>
    <w:link w:val="754"/>
    <w:uiPriority w:val="99"/>
  </w:style>
  <w:style w:type="paragraph" w:styleId="756">
    <w:name w:val="Footer"/>
    <w:basedOn w:val="742"/>
    <w:link w:val="7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57" w:customStyle="1">
    <w:name w:val="Нижний колонтитул Знак"/>
    <w:basedOn w:val="744"/>
    <w:link w:val="756"/>
    <w:uiPriority w:val="99"/>
  </w:style>
  <w:style w:type="paragraph" w:styleId="758" w:customStyle="1">
    <w:name w:val="topic-body__content-text"/>
    <w:basedOn w:val="742"/>
    <w:pPr>
      <w:spacing w:before="100" w:beforeAutospacing="1" w:after="300" w:line="240" w:lineRule="auto"/>
    </w:pPr>
    <w:rPr>
      <w:rFonts w:ascii="Source Serif Pro" w:hAnsi="Source Serif Pro" w:eastAsia="Times New Roman" w:cs="Times New Roman"/>
      <w:color w:val="292929"/>
      <w:sz w:val="26"/>
      <w:szCs w:val="26"/>
      <w:lang w:eastAsia="ru-RU"/>
    </w:rPr>
  </w:style>
  <w:style w:type="paragraph" w:styleId="759">
    <w:name w:val="Body Text Indent 2"/>
    <w:basedOn w:val="742"/>
    <w:link w:val="760"/>
    <w:semiHidden/>
    <w:pPr>
      <w:ind w:firstLine="720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760" w:customStyle="1">
    <w:name w:val="Основной текст с отступом 2 Знак"/>
    <w:basedOn w:val="744"/>
    <w:link w:val="759"/>
    <w:semiHidden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761">
    <w:name w:val="FollowedHyperlink"/>
    <w:basedOn w:val="744"/>
    <w:uiPriority w:val="99"/>
    <w:semiHidden/>
    <w:unhideWhenUsed/>
    <w:rPr>
      <w:color w:val="800080" w:themeColor="followedHyperlink"/>
      <w:u w:val="single"/>
    </w:rPr>
  </w:style>
  <w:style w:type="character" w:styleId="762" w:customStyle="1">
    <w:name w:val="Font Style18"/>
    <w:basedOn w:val="744"/>
    <w:rPr>
      <w:rFonts w:ascii="Times New Roman" w:hAnsi="Times New Roman" w:cs="Times New Roman"/>
      <w:sz w:val="24"/>
      <w:szCs w:val="24"/>
    </w:rPr>
  </w:style>
  <w:style w:type="paragraph" w:styleId="763" w:customStyle="1">
    <w:name w:val="ConsPlusNormal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64" w:customStyle="1">
    <w:name w:val="apple-converted-space"/>
    <w:basedOn w:val="744"/>
  </w:style>
  <w:style w:type="paragraph" w:styleId="765" w:customStyle="1">
    <w:name w:val="rtejustify"/>
    <w:basedOn w:val="74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66">
    <w:name w:val="List Paragraph"/>
    <w:basedOn w:val="74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image" Target="media/image2.png"/><Relationship Id="rId17" Type="http://schemas.openxmlformats.org/officeDocument/2006/relationships/hyperlink" Target="http://publication.pravo.gov.ru/documents/block/region69" TargetMode="External"/><Relationship Id="rId18" Type="http://schemas.openxmlformats.org/officeDocument/2006/relationships/hyperlink" Target="https://&#1084;&#1080;&#1079;&#1086;.&#1090;&#1074;&#1077;&#1088;&#1089;&#1082;&#1072;&#1103;&#1086;&#1073;&#1083;&#1072;&#1089;&#1090;&#1100;.&#1088;&#1092;/" TargetMode="External"/><Relationship Id="rId19" Type="http://schemas.openxmlformats.org/officeDocument/2006/relationships/hyperlink" Target="https://nspd.gov.ru/map" TargetMode="External"/><Relationship Id="rId20" Type="http://schemas.openxmlformats.org/officeDocument/2006/relationships/hyperlink" Target="https://lk.rosreestr.ru/eservices/real-estate-objects-online" TargetMode="External"/><Relationship Id="rId21" Type="http://schemas.openxmlformats.org/officeDocument/2006/relationships/hyperlink" Target="https://tverbti.ru/kadastrovaya-oczenka/obrashhenie-v-ramkah-gko/" TargetMode="External"/><Relationship Id="rId22" Type="http://schemas.openxmlformats.org/officeDocument/2006/relationships/hyperlink" Target="https://tverbti.ru/dokuments/blanka-zayavlenij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1D2EC-CE5D-4045-B356-42DE4A504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RePack by SPecialiST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revision>7</cp:revision>
  <dcterms:created xsi:type="dcterms:W3CDTF">2024-11-21T13:18:00Z</dcterms:created>
  <dcterms:modified xsi:type="dcterms:W3CDTF">2024-11-22T11:16:16Z</dcterms:modified>
</cp:coreProperties>
</file>