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CC6" w:rsidRDefault="00DA7F62" w:rsidP="00DA7F62">
      <w:pPr>
        <w:jc w:val="right"/>
        <w:rPr>
          <w:rFonts w:ascii="Times New Roman" w:hAnsi="Times New Roman" w:cs="Times New Roman"/>
          <w:sz w:val="24"/>
          <w:szCs w:val="24"/>
        </w:rPr>
      </w:pPr>
      <w:r w:rsidRPr="00DA7F62">
        <w:rPr>
          <w:rFonts w:ascii="Times New Roman" w:hAnsi="Times New Roman" w:cs="Times New Roman"/>
          <w:sz w:val="24"/>
          <w:szCs w:val="24"/>
        </w:rPr>
        <w:t xml:space="preserve">Приложение № </w:t>
      </w:r>
      <w:r w:rsidR="00211822">
        <w:rPr>
          <w:rFonts w:ascii="Times New Roman" w:hAnsi="Times New Roman" w:cs="Times New Roman"/>
          <w:sz w:val="24"/>
          <w:szCs w:val="24"/>
        </w:rPr>
        <w:t>1</w:t>
      </w:r>
      <w:bookmarkStart w:id="0" w:name="_GoBack"/>
      <w:bookmarkEnd w:id="0"/>
      <w:r>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0"/>
        <w:gridCol w:w="32"/>
        <w:gridCol w:w="2787"/>
        <w:gridCol w:w="143"/>
        <w:gridCol w:w="30"/>
        <w:gridCol w:w="699"/>
        <w:gridCol w:w="802"/>
        <w:gridCol w:w="30"/>
        <w:gridCol w:w="802"/>
        <w:gridCol w:w="442"/>
        <w:gridCol w:w="450"/>
        <w:gridCol w:w="450"/>
        <w:gridCol w:w="2578"/>
        <w:gridCol w:w="1521"/>
        <w:gridCol w:w="394"/>
        <w:gridCol w:w="275"/>
        <w:gridCol w:w="783"/>
        <w:gridCol w:w="131"/>
        <w:gridCol w:w="1275"/>
      </w:tblGrid>
      <w:tr w:rsidR="00DA7F62" w:rsidRPr="003745DC" w:rsidTr="009667CC">
        <w:trPr>
          <w:tblCellSpacing w:w="15" w:type="dxa"/>
        </w:trPr>
        <w:tc>
          <w:tcPr>
            <w:tcW w:w="0" w:type="auto"/>
            <w:vAlign w:val="center"/>
          </w:tcPr>
          <w:p w:rsidR="00DA7F62" w:rsidRPr="003745DC" w:rsidRDefault="00DA7F62" w:rsidP="009667CC">
            <w:pPr>
              <w:rPr>
                <w:rFonts w:ascii="Times New Roman" w:hAnsi="Times New Roman" w:cs="Times New Roman"/>
                <w:sz w:val="16"/>
                <w:szCs w:val="16"/>
              </w:rPr>
            </w:pPr>
          </w:p>
        </w:tc>
        <w:tc>
          <w:tcPr>
            <w:tcW w:w="0" w:type="auto"/>
            <w:gridSpan w:val="4"/>
            <w:vAlign w:val="center"/>
          </w:tcPr>
          <w:p w:rsidR="00DA7F62" w:rsidRPr="003745DC" w:rsidRDefault="00DA7F62" w:rsidP="009667CC">
            <w:pPr>
              <w:rPr>
                <w:rFonts w:ascii="Times New Roman" w:hAnsi="Times New Roman" w:cs="Times New Roman"/>
                <w:sz w:val="16"/>
                <w:szCs w:val="16"/>
              </w:rPr>
            </w:pPr>
          </w:p>
        </w:tc>
        <w:tc>
          <w:tcPr>
            <w:tcW w:w="0" w:type="auto"/>
            <w:gridSpan w:val="3"/>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gridSpan w:val="2"/>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15"/>
            <w:tcBorders>
              <w:top w:val="none" w:sz="0"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8"/>
                <w:szCs w:val="18"/>
              </w:rPr>
            </w:pPr>
            <w:r w:rsidRPr="003745DC">
              <w:rPr>
                <w:rFonts w:ascii="Times New Roman" w:hAnsi="Times New Roman" w:cs="Times New Roman"/>
                <w:sz w:val="18"/>
                <w:szCs w:val="18"/>
              </w:rPr>
              <w:t xml:space="preserve">ПЕРЕЧЕНЬ </w:t>
            </w:r>
          </w:p>
        </w:tc>
        <w:tc>
          <w:tcPr>
            <w:tcW w:w="0" w:type="auto"/>
            <w:gridSpan w:val="3"/>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15"/>
            <w:tcBorders>
              <w:top w:val="none" w:sz="0"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8"/>
                <w:szCs w:val="18"/>
              </w:rPr>
            </w:pPr>
            <w:r w:rsidRPr="003745DC">
              <w:rPr>
                <w:rFonts w:ascii="Times New Roman" w:hAnsi="Times New Roman" w:cs="Times New Roman"/>
                <w:sz w:val="18"/>
                <w:szCs w:val="18"/>
              </w:rPr>
              <w:t>операций (действий по формированию документов, необходимых для выполнения внутренней бюджетной процедуры)</w:t>
            </w: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Коды </w:t>
            </w:r>
          </w:p>
        </w:tc>
      </w:tr>
      <w:tr w:rsidR="00DA7F62" w:rsidRPr="003745DC" w:rsidTr="009667CC">
        <w:trPr>
          <w:tblCellSpacing w:w="15" w:type="dxa"/>
        </w:trPr>
        <w:tc>
          <w:tcPr>
            <w:tcW w:w="0" w:type="auto"/>
            <w:gridSpan w:val="8"/>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7"/>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N _________________</w:t>
            </w: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15"/>
            <w:tcBorders>
              <w:top w:val="none" w:sz="0"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по состоянию на "____"_________20___г.</w:t>
            </w: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jc w:val="right"/>
              <w:rPr>
                <w:rFonts w:ascii="Times New Roman" w:hAnsi="Times New Roman" w:cs="Times New Roman"/>
                <w:sz w:val="16"/>
                <w:szCs w:val="16"/>
              </w:rPr>
            </w:pPr>
            <w:r w:rsidRPr="003745DC">
              <w:rPr>
                <w:rFonts w:ascii="Times New Roman" w:hAnsi="Times New Roman" w:cs="Times New Roman"/>
                <w:sz w:val="16"/>
                <w:szCs w:val="16"/>
              </w:rPr>
              <w:t xml:space="preserve">Дата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9"/>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xml:space="preserve">Наименование главного администратора бюджетных средств </w:t>
            </w:r>
          </w:p>
        </w:tc>
        <w:tc>
          <w:tcPr>
            <w:tcW w:w="0" w:type="auto"/>
            <w:gridSpan w:val="6"/>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jc w:val="right"/>
              <w:rPr>
                <w:rFonts w:ascii="Times New Roman" w:hAnsi="Times New Roman" w:cs="Times New Roman"/>
                <w:sz w:val="16"/>
                <w:szCs w:val="16"/>
              </w:rPr>
            </w:pPr>
            <w:r w:rsidRPr="003745DC">
              <w:rPr>
                <w:rFonts w:ascii="Times New Roman" w:hAnsi="Times New Roman" w:cs="Times New Roman"/>
                <w:sz w:val="16"/>
                <w:szCs w:val="16"/>
              </w:rPr>
              <w:t xml:space="preserve">Глава по БК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9"/>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xml:space="preserve">Наименование бюджета </w:t>
            </w:r>
          </w:p>
        </w:tc>
        <w:tc>
          <w:tcPr>
            <w:tcW w:w="0" w:type="auto"/>
            <w:gridSpan w:val="6"/>
            <w:tcBorders>
              <w:top w:val="single" w:sz="6"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jc w:val="right"/>
              <w:rPr>
                <w:rFonts w:ascii="Times New Roman" w:hAnsi="Times New Roman" w:cs="Times New Roman"/>
                <w:sz w:val="16"/>
                <w:szCs w:val="16"/>
              </w:rPr>
            </w:pPr>
            <w:r w:rsidRPr="003745DC">
              <w:rPr>
                <w:rFonts w:ascii="Times New Roman" w:hAnsi="Times New Roman" w:cs="Times New Roman"/>
                <w:sz w:val="16"/>
                <w:szCs w:val="16"/>
              </w:rPr>
              <w:t xml:space="preserve">по ОКТМО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9"/>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xml:space="preserve">Наименование структурного подразделения, ответственного за выполнение внутренних бюджетных процедур </w:t>
            </w:r>
          </w:p>
        </w:tc>
        <w:tc>
          <w:tcPr>
            <w:tcW w:w="0" w:type="auto"/>
            <w:gridSpan w:val="6"/>
            <w:tcBorders>
              <w:top w:val="single" w:sz="6"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3"/>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DA7F62">
        <w:trPr>
          <w:trHeight w:val="144"/>
          <w:tblCellSpacing w:w="15" w:type="dxa"/>
        </w:trPr>
        <w:tc>
          <w:tcPr>
            <w:tcW w:w="0" w:type="auto"/>
            <w:gridSpan w:val="9"/>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I.</w:t>
            </w:r>
          </w:p>
        </w:tc>
        <w:tc>
          <w:tcPr>
            <w:tcW w:w="0" w:type="auto"/>
            <w:gridSpan w:val="6"/>
            <w:tcBorders>
              <w:top w:val="single" w:sz="6"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3"/>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19"/>
            <w:tcBorders>
              <w:top w:val="single" w:sz="6" w:space="0" w:color="000000"/>
              <w:left w:val="none" w:sz="0" w:space="0" w:color="000000"/>
              <w:bottom w:val="single" w:sz="6"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(наименование внутренней бюджетной процедуры)</w:t>
            </w: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Процесс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Операция </w:t>
            </w: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Должностное </w:t>
            </w:r>
          </w:p>
        </w:tc>
        <w:tc>
          <w:tcPr>
            <w:tcW w:w="0" w:type="auto"/>
            <w:gridSpan w:val="2"/>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Бюджетные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Матрица рисков </w:t>
            </w:r>
          </w:p>
        </w:tc>
        <w:tc>
          <w:tcPr>
            <w:tcW w:w="0" w:type="auto"/>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Включить </w:t>
            </w:r>
          </w:p>
        </w:tc>
        <w:tc>
          <w:tcPr>
            <w:tcW w:w="0" w:type="auto"/>
            <w:gridSpan w:val="2"/>
            <w:tcBorders>
              <w:top w:val="single" w:sz="6" w:space="0" w:color="000000"/>
              <w:left w:val="single" w:sz="6"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Предложения </w:t>
            </w: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лицо,</w:t>
            </w:r>
          </w:p>
        </w:tc>
        <w:tc>
          <w:tcPr>
            <w:tcW w:w="0" w:type="auto"/>
            <w:gridSpan w:val="2"/>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риски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Оценка вероятности </w:t>
            </w:r>
          </w:p>
        </w:tc>
        <w:tc>
          <w:tcPr>
            <w:tcW w:w="0" w:type="auto"/>
            <w:gridSpan w:val="2"/>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Уровень </w:t>
            </w:r>
          </w:p>
        </w:tc>
        <w:tc>
          <w:tcPr>
            <w:tcW w:w="0" w:type="auto"/>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 карту </w:t>
            </w:r>
          </w:p>
        </w:tc>
        <w:tc>
          <w:tcPr>
            <w:tcW w:w="0" w:type="auto"/>
            <w:gridSpan w:val="2"/>
            <w:tcBorders>
              <w:top w:val="none" w:sz="0" w:space="0" w:color="000000"/>
              <w:left w:val="single" w:sz="6"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по применению </w:t>
            </w:r>
          </w:p>
        </w:tc>
      </w:tr>
      <w:tr w:rsidR="00DA7F62" w:rsidRPr="003745DC" w:rsidTr="00DA7F62">
        <w:trPr>
          <w:trHeight w:val="487"/>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proofErr w:type="gramStart"/>
            <w:r w:rsidRPr="003745DC">
              <w:rPr>
                <w:rFonts w:ascii="Times New Roman" w:hAnsi="Times New Roman" w:cs="Times New Roman"/>
                <w:sz w:val="16"/>
                <w:szCs w:val="16"/>
              </w:rPr>
              <w:t xml:space="preserve">ответственное за выполнение операции </w:t>
            </w:r>
            <w:proofErr w:type="gramEnd"/>
          </w:p>
        </w:tc>
        <w:tc>
          <w:tcPr>
            <w:tcW w:w="0" w:type="auto"/>
            <w:gridSpan w:val="2"/>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Вероятность наступления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Последствия </w:t>
            </w:r>
          </w:p>
        </w:tc>
        <w:tc>
          <w:tcPr>
            <w:tcW w:w="0" w:type="auto"/>
            <w:gridSpan w:val="2"/>
            <w:tcBorders>
              <w:top w:val="none" w:sz="0"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рисков </w:t>
            </w:r>
          </w:p>
        </w:tc>
        <w:tc>
          <w:tcPr>
            <w:tcW w:w="0" w:type="auto"/>
            <w:tcBorders>
              <w:top w:val="none" w:sz="0"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ВФК </w:t>
            </w:r>
          </w:p>
        </w:tc>
        <w:tc>
          <w:tcPr>
            <w:tcW w:w="0" w:type="auto"/>
            <w:gridSpan w:val="2"/>
            <w:tcBorders>
              <w:top w:val="none" w:sz="0" w:space="0" w:color="000000"/>
              <w:left w:val="single" w:sz="6" w:space="0" w:color="000000"/>
              <w:bottom w:val="single" w:sz="6"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контрольных действий </w:t>
            </w:r>
          </w:p>
        </w:tc>
      </w:tr>
      <w:tr w:rsidR="00DA7F62" w:rsidRPr="003745DC" w:rsidTr="009667CC">
        <w:trPr>
          <w:tblCellSpacing w:w="15" w:type="dxa"/>
        </w:trPr>
        <w:tc>
          <w:tcPr>
            <w:tcW w:w="0" w:type="auto"/>
            <w:tcBorders>
              <w:top w:val="single" w:sz="6" w:space="0" w:color="000000"/>
              <w:left w:val="none" w:sz="0"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1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2 </w:t>
            </w: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3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4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5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6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7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8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9 </w:t>
            </w: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lastRenderedPageBreak/>
              <w:t> </w:t>
            </w: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DA7F62">
        <w:trPr>
          <w:trHeight w:val="35"/>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gridSpan w:val="19"/>
            <w:tcBorders>
              <w:top w:val="single" w:sz="6"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II.</w:t>
            </w:r>
          </w:p>
        </w:tc>
      </w:tr>
      <w:tr w:rsidR="00DA7F62" w:rsidRPr="003745DC" w:rsidTr="009667CC">
        <w:trPr>
          <w:tblCellSpacing w:w="15" w:type="dxa"/>
        </w:trPr>
        <w:tc>
          <w:tcPr>
            <w:tcW w:w="0" w:type="auto"/>
            <w:gridSpan w:val="19"/>
            <w:tcBorders>
              <w:top w:val="single" w:sz="6" w:space="0" w:color="000000"/>
              <w:left w:val="none" w:sz="0" w:space="0" w:color="000000"/>
              <w:bottom w:val="single" w:sz="6"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(наименование внутренней бюджетной процедуры)</w:t>
            </w: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Процесс </w:t>
            </w:r>
          </w:p>
        </w:tc>
        <w:tc>
          <w:tcPr>
            <w:tcW w:w="0" w:type="auto"/>
            <w:gridSpan w:val="4"/>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Операция </w:t>
            </w:r>
          </w:p>
        </w:tc>
        <w:tc>
          <w:tcPr>
            <w:tcW w:w="0" w:type="auto"/>
            <w:gridSpan w:val="5"/>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Должностное </w:t>
            </w:r>
          </w:p>
        </w:tc>
        <w:tc>
          <w:tcPr>
            <w:tcW w:w="0" w:type="auto"/>
            <w:gridSpan w:val="2"/>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Бюджетные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Матрица рисков </w:t>
            </w:r>
          </w:p>
        </w:tc>
        <w:tc>
          <w:tcPr>
            <w:tcW w:w="0" w:type="auto"/>
            <w:gridSpan w:val="2"/>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Уровень </w:t>
            </w:r>
          </w:p>
        </w:tc>
        <w:tc>
          <w:tcPr>
            <w:tcW w:w="0" w:type="auto"/>
            <w:tcBorders>
              <w:top w:val="single" w:sz="6"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Включить </w:t>
            </w:r>
          </w:p>
        </w:tc>
        <w:tc>
          <w:tcPr>
            <w:tcW w:w="0" w:type="auto"/>
            <w:gridSpan w:val="2"/>
            <w:tcBorders>
              <w:top w:val="single" w:sz="6" w:space="0" w:color="000000"/>
              <w:left w:val="single" w:sz="6"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Предложения </w:t>
            </w: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single" w:sz="6"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лицо,</w:t>
            </w:r>
          </w:p>
        </w:tc>
        <w:tc>
          <w:tcPr>
            <w:tcW w:w="0" w:type="auto"/>
            <w:gridSpan w:val="2"/>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риски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Оценка вероятности </w:t>
            </w:r>
          </w:p>
        </w:tc>
        <w:tc>
          <w:tcPr>
            <w:tcW w:w="0" w:type="auto"/>
            <w:gridSpan w:val="2"/>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рисков </w:t>
            </w:r>
          </w:p>
        </w:tc>
        <w:tc>
          <w:tcPr>
            <w:tcW w:w="0" w:type="auto"/>
            <w:tcBorders>
              <w:top w:val="none" w:sz="0" w:space="0" w:color="000000"/>
              <w:left w:val="single" w:sz="6" w:space="0" w:color="000000"/>
              <w:bottom w:val="none" w:sz="0"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 карту </w:t>
            </w:r>
          </w:p>
        </w:tc>
        <w:tc>
          <w:tcPr>
            <w:tcW w:w="0" w:type="auto"/>
            <w:gridSpan w:val="2"/>
            <w:tcBorders>
              <w:top w:val="none" w:sz="0" w:space="0" w:color="000000"/>
              <w:left w:val="single" w:sz="6"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по применению </w:t>
            </w:r>
          </w:p>
        </w:tc>
      </w:tr>
      <w:tr w:rsidR="00DA7F62" w:rsidRPr="003745DC" w:rsidTr="009667CC">
        <w:trPr>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none" w:sz="0"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proofErr w:type="gramStart"/>
            <w:r w:rsidRPr="003745DC">
              <w:rPr>
                <w:rFonts w:ascii="Times New Roman" w:hAnsi="Times New Roman" w:cs="Times New Roman"/>
                <w:sz w:val="16"/>
                <w:szCs w:val="16"/>
              </w:rPr>
              <w:t xml:space="preserve">ответственное за выполнение операции </w:t>
            </w:r>
            <w:proofErr w:type="gramEnd"/>
          </w:p>
        </w:tc>
        <w:tc>
          <w:tcPr>
            <w:tcW w:w="0" w:type="auto"/>
            <w:gridSpan w:val="2"/>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Вероятность наступления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Последствия </w:t>
            </w:r>
          </w:p>
        </w:tc>
        <w:tc>
          <w:tcPr>
            <w:tcW w:w="0" w:type="auto"/>
            <w:gridSpan w:val="2"/>
            <w:tcBorders>
              <w:top w:val="none" w:sz="0"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none" w:sz="0"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ВФК </w:t>
            </w:r>
          </w:p>
        </w:tc>
        <w:tc>
          <w:tcPr>
            <w:tcW w:w="0" w:type="auto"/>
            <w:gridSpan w:val="2"/>
            <w:tcBorders>
              <w:top w:val="none" w:sz="0" w:space="0" w:color="000000"/>
              <w:left w:val="single" w:sz="6" w:space="0" w:color="000000"/>
              <w:bottom w:val="single" w:sz="6"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контрольных действий </w:t>
            </w:r>
          </w:p>
        </w:tc>
      </w:tr>
      <w:tr w:rsidR="00DA7F62" w:rsidRPr="003745DC" w:rsidTr="009667CC">
        <w:trPr>
          <w:tblCellSpacing w:w="15" w:type="dxa"/>
        </w:trPr>
        <w:tc>
          <w:tcPr>
            <w:tcW w:w="0" w:type="auto"/>
            <w:tcBorders>
              <w:top w:val="single" w:sz="6" w:space="0" w:color="000000"/>
              <w:left w:val="none" w:sz="0"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1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2 </w:t>
            </w: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3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4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5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6 </w:t>
            </w: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7 </w:t>
            </w: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 xml:space="preserve">8 </w:t>
            </w: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single" w:sz="6"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lastRenderedPageBreak/>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none" w:sz="0"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tblCellSpacing w:w="15" w:type="dxa"/>
        </w:trPr>
        <w:tc>
          <w:tcPr>
            <w:tcW w:w="0" w:type="auto"/>
            <w:tcBorders>
              <w:top w:val="none" w:sz="0" w:space="0" w:color="000000"/>
              <w:left w:val="none" w:sz="0"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w:t>
            </w:r>
          </w:p>
        </w:tc>
        <w:tc>
          <w:tcPr>
            <w:tcW w:w="0" w:type="auto"/>
            <w:gridSpan w:val="4"/>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5"/>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single" w:sz="6" w:space="0" w:color="000000"/>
              <w:bottom w:val="single" w:sz="6" w:space="0" w:color="000000"/>
              <w:right w:val="single" w:sz="6"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gridAfter w:val="8"/>
          <w:tblCellSpacing w:w="15" w:type="dxa"/>
        </w:trPr>
        <w:tc>
          <w:tcPr>
            <w:tcW w:w="0" w:type="auto"/>
            <w:gridSpan w:val="2"/>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gridSpan w:val="2"/>
            <w:vAlign w:val="center"/>
          </w:tcPr>
          <w:p w:rsidR="00DA7F62" w:rsidRPr="003745DC" w:rsidRDefault="00DA7F62" w:rsidP="009667CC">
            <w:pPr>
              <w:rPr>
                <w:rFonts w:ascii="Times New Roman" w:hAnsi="Times New Roman" w:cs="Times New Roman"/>
                <w:sz w:val="16"/>
                <w:szCs w:val="16"/>
              </w:rPr>
            </w:pPr>
          </w:p>
        </w:tc>
        <w:tc>
          <w:tcPr>
            <w:tcW w:w="0" w:type="auto"/>
            <w:vAlign w:val="center"/>
          </w:tcPr>
          <w:p w:rsidR="00DA7F62" w:rsidRPr="003745DC" w:rsidRDefault="00DA7F62" w:rsidP="009667CC">
            <w:pPr>
              <w:rPr>
                <w:rFonts w:ascii="Times New Roman" w:hAnsi="Times New Roman" w:cs="Times New Roman"/>
                <w:sz w:val="16"/>
                <w:szCs w:val="16"/>
              </w:rPr>
            </w:pPr>
          </w:p>
        </w:tc>
        <w:tc>
          <w:tcPr>
            <w:tcW w:w="0" w:type="auto"/>
            <w:gridSpan w:val="4"/>
            <w:vAlign w:val="center"/>
          </w:tcPr>
          <w:p w:rsidR="00DA7F62" w:rsidRPr="003745DC" w:rsidRDefault="00DA7F62" w:rsidP="009667CC">
            <w:pPr>
              <w:rPr>
                <w:rFonts w:ascii="Times New Roman" w:hAnsi="Times New Roman" w:cs="Times New Roman"/>
                <w:sz w:val="16"/>
                <w:szCs w:val="16"/>
              </w:rPr>
            </w:pPr>
          </w:p>
        </w:tc>
      </w:tr>
      <w:tr w:rsidR="00DA7F62" w:rsidRPr="003745DC" w:rsidTr="009667CC">
        <w:trPr>
          <w:gridAfter w:val="8"/>
          <w:tblCellSpacing w:w="15" w:type="dxa"/>
        </w:trPr>
        <w:tc>
          <w:tcPr>
            <w:tcW w:w="0" w:type="auto"/>
            <w:gridSpan w:val="2"/>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xml:space="preserve">Руководитель </w:t>
            </w:r>
            <w:proofErr w:type="gramStart"/>
            <w:r w:rsidRPr="003745DC">
              <w:rPr>
                <w:rFonts w:ascii="Times New Roman" w:hAnsi="Times New Roman" w:cs="Times New Roman"/>
                <w:sz w:val="16"/>
                <w:szCs w:val="16"/>
              </w:rPr>
              <w:t>структурного</w:t>
            </w:r>
            <w:proofErr w:type="gramEnd"/>
            <w:r w:rsidRPr="003745DC">
              <w:rPr>
                <w:rFonts w:ascii="Times New Roman" w:hAnsi="Times New Roman" w:cs="Times New Roman"/>
                <w:sz w:val="16"/>
                <w:szCs w:val="16"/>
              </w:rPr>
              <w:t xml:space="preserve"> </w:t>
            </w:r>
          </w:p>
        </w:tc>
        <w:tc>
          <w:tcPr>
            <w:tcW w:w="0" w:type="auto"/>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none" w:sz="0" w:space="0" w:color="000000"/>
              <w:bottom w:val="single" w:sz="6" w:space="0" w:color="000000"/>
              <w:right w:val="none" w:sz="0" w:space="0" w:color="000000"/>
            </w:tcBorders>
          </w:tcPr>
          <w:p w:rsidR="00DA7F62" w:rsidRPr="003745DC" w:rsidRDefault="00DA7F62" w:rsidP="009667CC">
            <w:pPr>
              <w:rPr>
                <w:rFonts w:ascii="Times New Roman" w:hAnsi="Times New Roman" w:cs="Times New Roman"/>
                <w:sz w:val="16"/>
                <w:szCs w:val="16"/>
              </w:rPr>
            </w:pPr>
          </w:p>
        </w:tc>
      </w:tr>
      <w:tr w:rsidR="00DA7F62" w:rsidRPr="003745DC" w:rsidTr="009667CC">
        <w:trPr>
          <w:gridAfter w:val="8"/>
          <w:tblCellSpacing w:w="15" w:type="dxa"/>
        </w:trPr>
        <w:tc>
          <w:tcPr>
            <w:tcW w:w="0" w:type="auto"/>
            <w:gridSpan w:val="2"/>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 xml:space="preserve">подразделения </w:t>
            </w:r>
          </w:p>
        </w:tc>
        <w:tc>
          <w:tcPr>
            <w:tcW w:w="0" w:type="auto"/>
            <w:tcBorders>
              <w:top w:val="single" w:sz="6"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(должность)</w:t>
            </w: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single" w:sz="6"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(подпись)</w:t>
            </w: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single" w:sz="6" w:space="0" w:color="000000"/>
              <w:left w:val="none" w:sz="0" w:space="0" w:color="000000"/>
              <w:bottom w:val="none" w:sz="0" w:space="0" w:color="000000"/>
              <w:right w:val="none" w:sz="0" w:space="0" w:color="000000"/>
            </w:tcBorders>
          </w:tcPr>
          <w:p w:rsidR="00DA7F62" w:rsidRPr="003745DC" w:rsidRDefault="00DA7F62" w:rsidP="009667CC">
            <w:pPr>
              <w:jc w:val="center"/>
              <w:rPr>
                <w:rFonts w:ascii="Times New Roman" w:hAnsi="Times New Roman" w:cs="Times New Roman"/>
                <w:sz w:val="16"/>
                <w:szCs w:val="16"/>
              </w:rPr>
            </w:pPr>
            <w:r w:rsidRPr="003745DC">
              <w:rPr>
                <w:rFonts w:ascii="Times New Roman" w:hAnsi="Times New Roman" w:cs="Times New Roman"/>
                <w:sz w:val="16"/>
                <w:szCs w:val="16"/>
              </w:rPr>
              <w:t>(расшифровка подписи)</w:t>
            </w:r>
          </w:p>
        </w:tc>
      </w:tr>
      <w:tr w:rsidR="00DA7F62" w:rsidRPr="003745DC" w:rsidTr="009667CC">
        <w:trPr>
          <w:gridAfter w:val="8"/>
          <w:tblCellSpacing w:w="15" w:type="dxa"/>
        </w:trPr>
        <w:tc>
          <w:tcPr>
            <w:tcW w:w="0" w:type="auto"/>
            <w:gridSpan w:val="3"/>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r w:rsidRPr="003745DC">
              <w:rPr>
                <w:rFonts w:ascii="Times New Roman" w:hAnsi="Times New Roman" w:cs="Times New Roman"/>
                <w:sz w:val="16"/>
                <w:szCs w:val="16"/>
              </w:rPr>
              <w:t>"____"___________20__ г.</w:t>
            </w: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2"/>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c>
          <w:tcPr>
            <w:tcW w:w="0" w:type="auto"/>
            <w:gridSpan w:val="4"/>
            <w:tcBorders>
              <w:top w:val="none" w:sz="0" w:space="0" w:color="000000"/>
              <w:left w:val="none" w:sz="0" w:space="0" w:color="000000"/>
              <w:bottom w:val="none" w:sz="0" w:space="0" w:color="000000"/>
              <w:right w:val="none" w:sz="0" w:space="0" w:color="000000"/>
            </w:tcBorders>
          </w:tcPr>
          <w:p w:rsidR="00DA7F62" w:rsidRPr="003745DC" w:rsidRDefault="00DA7F62" w:rsidP="009667CC">
            <w:pPr>
              <w:rPr>
                <w:rFonts w:ascii="Times New Roman" w:hAnsi="Times New Roman" w:cs="Times New Roman"/>
                <w:sz w:val="16"/>
                <w:szCs w:val="16"/>
              </w:rPr>
            </w:pPr>
          </w:p>
        </w:tc>
      </w:tr>
    </w:tbl>
    <w:p w:rsidR="00DA7F62" w:rsidRPr="00DA7F62" w:rsidRDefault="00DA7F62" w:rsidP="00CE249F">
      <w:pPr>
        <w:spacing w:after="0"/>
        <w:jc w:val="center"/>
        <w:rPr>
          <w:rFonts w:ascii="Times New Roman" w:hAnsi="Times New Roman" w:cs="Times New Roman"/>
          <w:b/>
          <w:sz w:val="20"/>
          <w:szCs w:val="20"/>
        </w:rPr>
      </w:pPr>
      <w:r w:rsidRPr="00DA7F62">
        <w:rPr>
          <w:rFonts w:ascii="Times New Roman" w:hAnsi="Times New Roman" w:cs="Times New Roman"/>
          <w:b/>
          <w:sz w:val="20"/>
          <w:szCs w:val="20"/>
        </w:rPr>
        <w:t>Рекомендации по заполнению Перечня операций (действий по формированию документов, необходимых для выполнения внутренней бюджетной процедуры)</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При заполнении Перечня указываются следующие сведения.</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1. В графе 1 Перечня указывается наименование процесса внутренней бюджетной процедуры как совокупности взаимосвязанных (последовательных) операций (действий по формированию документов, необходимых для выполнения внутренней бюджетной процедуры), направленных на достижение результата выполнения внутренней бюджетной процедуры (далее - процесс). Перечень процессов утверждается руководителем подразделения, ответственного за результат выполнения внутренней бюджетной процедуры, с уточнением ответственных лиц, участвующих в выполнении процессов внутренней бюджетной процедуры.</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 xml:space="preserve">2. В графе 2 Перечня указывается наименование операции (действия по формированию документа, необходимого для выполнения внутренней бюджетной процедуры). Например, операциями по составлению и представлению обоснования бюджетных ассигнований на социальные выплаты по социальному обеспечению и иным выплатам населению в части публичных нормативных (публичных) обязательств </w:t>
      </w:r>
      <w:proofErr w:type="spellStart"/>
      <w:r w:rsidRPr="00DA7F62">
        <w:rPr>
          <w:rFonts w:ascii="Times New Roman" w:hAnsi="Times New Roman" w:cs="Times New Roman"/>
          <w:sz w:val="20"/>
          <w:szCs w:val="20"/>
        </w:rPr>
        <w:t>являются</w:t>
      </w:r>
      <w:proofErr w:type="gramStart"/>
      <w:r w:rsidRPr="00DA7F62">
        <w:rPr>
          <w:rFonts w:ascii="Times New Roman" w:hAnsi="Times New Roman" w:cs="Times New Roman"/>
          <w:sz w:val="20"/>
          <w:szCs w:val="20"/>
        </w:rPr>
        <w:t>:п</w:t>
      </w:r>
      <w:proofErr w:type="gramEnd"/>
      <w:r w:rsidRPr="00DA7F62">
        <w:rPr>
          <w:rFonts w:ascii="Times New Roman" w:hAnsi="Times New Roman" w:cs="Times New Roman"/>
          <w:sz w:val="20"/>
          <w:szCs w:val="20"/>
        </w:rPr>
        <w:t>олучение</w:t>
      </w:r>
      <w:proofErr w:type="spellEnd"/>
      <w:r w:rsidRPr="00DA7F62">
        <w:rPr>
          <w:rFonts w:ascii="Times New Roman" w:hAnsi="Times New Roman" w:cs="Times New Roman"/>
          <w:sz w:val="20"/>
          <w:szCs w:val="20"/>
        </w:rPr>
        <w:t xml:space="preserve"> от иных структурных подразделений государственного органа (органа местного самоуправления), казенных учреждений и (или) иных государственных органов (органов местного самоуправления) сведений, необходимых для формирования показателей данного обоснования бюджетных ассигнований, и их </w:t>
      </w:r>
      <w:proofErr w:type="spellStart"/>
      <w:r w:rsidRPr="00DA7F62">
        <w:rPr>
          <w:rFonts w:ascii="Times New Roman" w:hAnsi="Times New Roman" w:cs="Times New Roman"/>
          <w:sz w:val="20"/>
          <w:szCs w:val="20"/>
        </w:rPr>
        <w:t>анализ;заполнение</w:t>
      </w:r>
      <w:proofErr w:type="spellEnd"/>
      <w:r w:rsidRPr="00DA7F62">
        <w:rPr>
          <w:rFonts w:ascii="Times New Roman" w:hAnsi="Times New Roman" w:cs="Times New Roman"/>
          <w:sz w:val="20"/>
          <w:szCs w:val="20"/>
        </w:rPr>
        <w:t xml:space="preserve"> информации в указанном документе и его представление в финансовый орган соответствующего бюджета.</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3. В графе 3 Перечня указываются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включающие фамилию и инициалы и (или) наименование замещаемой им должности.</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4. В графе 4 Перечня указываются бюджетные риски, связанные с проведением операции, указанной в графе 3 Перечня.</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5. В графе 5 Перечня указывается уровень вероятность наступления бюджетного риска по критерию "Вероятность".</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6. В графе 6 Перечня указывается уровень последствий наступления бюджетного риска по критерию "Последствия".</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7. В графе 7 Перечня указывается уровень бюджетного риска, рассчитываемый в соответствии с Таблицей пункта 31 Методических рекомендаций по осуществлению внутреннего финансового контроля.</w:t>
      </w:r>
    </w:p>
    <w:p w:rsidR="00DA7F62" w:rsidRPr="00DA7F62" w:rsidRDefault="00DA7F62" w:rsidP="00CE249F">
      <w:pPr>
        <w:spacing w:after="0"/>
        <w:rPr>
          <w:rFonts w:ascii="Times New Roman" w:hAnsi="Times New Roman" w:cs="Times New Roman"/>
          <w:sz w:val="20"/>
          <w:szCs w:val="20"/>
        </w:rPr>
      </w:pPr>
      <w:r w:rsidRPr="00DA7F62">
        <w:rPr>
          <w:rFonts w:ascii="Times New Roman" w:hAnsi="Times New Roman" w:cs="Times New Roman"/>
          <w:sz w:val="20"/>
          <w:szCs w:val="20"/>
        </w:rPr>
        <w:t>8. В графе 8 Перечня по осуществлению внутреннего финансового контроля указывается слово "да" в случае включения операции в карту внутреннего финансового контроля или слово "нет" в ином случае.</w:t>
      </w:r>
    </w:p>
    <w:p w:rsidR="00DA7F62" w:rsidRPr="003745DC" w:rsidRDefault="00DA7F62" w:rsidP="003745DC">
      <w:pPr>
        <w:spacing w:after="0"/>
        <w:rPr>
          <w:rFonts w:ascii="Times New Roman" w:hAnsi="Times New Roman" w:cs="Times New Roman"/>
          <w:sz w:val="20"/>
          <w:szCs w:val="20"/>
        </w:rPr>
      </w:pPr>
      <w:r w:rsidRPr="00DA7F62">
        <w:rPr>
          <w:rFonts w:ascii="Times New Roman" w:hAnsi="Times New Roman" w:cs="Times New Roman"/>
          <w:sz w:val="20"/>
          <w:szCs w:val="20"/>
        </w:rPr>
        <w:t xml:space="preserve">9. В графе 9 Перечня отражаются предложения по применению контрольных действий с указанием их характеристик в отношении операций, включаемых в карту внутреннего финансового контроля. </w:t>
      </w:r>
      <w:proofErr w:type="gramStart"/>
      <w:r w:rsidRPr="00DA7F62">
        <w:rPr>
          <w:rFonts w:ascii="Times New Roman" w:hAnsi="Times New Roman" w:cs="Times New Roman"/>
          <w:sz w:val="20"/>
          <w:szCs w:val="20"/>
        </w:rPr>
        <w:t>Например, в отношении поступающих сведений от иных структурных подразделений государственного органа (органа местного самоуправления), казенных учреждений, необходимых для формирования показателей данного обоснования бюджетных ассигнований, в ходе контроля по уровню подведомственности проводится проверка соответствующих данных, указанных в этих сведениях, на соответствие требованиям, установленным бюджетным законодательством и внутренними стандартами (правовыми актами главного администратора (администраторов) бюджетных средств).</w:t>
      </w:r>
      <w:proofErr w:type="gramEnd"/>
    </w:p>
    <w:sectPr w:rsidR="00DA7F62" w:rsidRPr="003745DC" w:rsidSect="003745DC">
      <w:pgSz w:w="16838" w:h="11906" w:orient="landscape"/>
      <w:pgMar w:top="102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A7F62"/>
    <w:rsid w:val="00133CC6"/>
    <w:rsid w:val="00211822"/>
    <w:rsid w:val="003745DC"/>
    <w:rsid w:val="0041525B"/>
    <w:rsid w:val="00CE249F"/>
    <w:rsid w:val="00DA7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C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fo3</dc:creator>
  <cp:keywords/>
  <dc:description/>
  <cp:lastModifiedBy>Skorikova</cp:lastModifiedBy>
  <cp:revision>7</cp:revision>
  <cp:lastPrinted>2017-05-22T14:49:00Z</cp:lastPrinted>
  <dcterms:created xsi:type="dcterms:W3CDTF">2017-05-16T07:08:00Z</dcterms:created>
  <dcterms:modified xsi:type="dcterms:W3CDTF">2018-03-23T07:13:00Z</dcterms:modified>
</cp:coreProperties>
</file>