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Pr="000624A0" w:rsidRDefault="00FA0650" w:rsidP="006F7479">
      <w:pPr>
        <w:pStyle w:val="a4"/>
        <w:rPr>
          <w:b w:val="0"/>
          <w:sz w:val="20"/>
          <w:u w:val="single"/>
        </w:rPr>
      </w:pPr>
      <w:r>
        <w:rPr>
          <w:b w:val="0"/>
          <w:sz w:val="20"/>
        </w:rPr>
        <w:t xml:space="preserve"> </w:t>
      </w:r>
      <w:bookmarkStart w:id="0" w:name="_GoBack"/>
      <w:bookmarkEnd w:id="0"/>
    </w:p>
    <w:p w:rsidR="003D0C68" w:rsidRPr="00E70005" w:rsidRDefault="006F7479" w:rsidP="003D0C68">
      <w:pPr>
        <w:pStyle w:val="a4"/>
        <w:rPr>
          <w:szCs w:val="24"/>
        </w:rPr>
      </w:pPr>
      <w:r>
        <w:rPr>
          <w:szCs w:val="24"/>
        </w:rPr>
        <w:t xml:space="preserve"> </w:t>
      </w:r>
      <w:r w:rsidR="00E70005">
        <w:rPr>
          <w:szCs w:val="24"/>
        </w:rPr>
        <w:t>«</w:t>
      </w:r>
      <w:r w:rsidR="003D0C68" w:rsidRPr="00E70005">
        <w:rPr>
          <w:szCs w:val="24"/>
        </w:rPr>
        <w:t>Извещение о проведен</w:t>
      </w:r>
      <w:proofErr w:type="gramStart"/>
      <w:r w:rsidR="003D0C68" w:rsidRPr="00E70005">
        <w:rPr>
          <w:szCs w:val="24"/>
        </w:rPr>
        <w:t>ии ау</w:t>
      </w:r>
      <w:proofErr w:type="gramEnd"/>
      <w:r w:rsidR="003D0C68" w:rsidRPr="00E70005">
        <w:rPr>
          <w:szCs w:val="24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802306">
        <w:t>26</w:t>
      </w:r>
      <w:r w:rsidR="00456673">
        <w:t>»</w:t>
      </w:r>
      <w:r w:rsidR="00802306">
        <w:t xml:space="preserve"> декабря </w:t>
      </w:r>
      <w:r w:rsidRPr="00206919">
        <w:t>201</w:t>
      </w:r>
      <w:r w:rsidR="00456673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FA0650">
        <w:rPr>
          <w:b w:val="0"/>
          <w:szCs w:val="24"/>
        </w:rPr>
        <w:t xml:space="preserve"> 22.11.2018</w:t>
      </w:r>
      <w:r w:rsidR="00260F00">
        <w:rPr>
          <w:b w:val="0"/>
          <w:szCs w:val="24"/>
        </w:rPr>
        <w:t xml:space="preserve"> </w:t>
      </w:r>
      <w:r w:rsidR="00EF6307">
        <w:rPr>
          <w:b w:val="0"/>
          <w:szCs w:val="24"/>
        </w:rPr>
        <w:t>№</w:t>
      </w:r>
      <w:r w:rsidR="00260F00">
        <w:rPr>
          <w:b w:val="0"/>
          <w:szCs w:val="24"/>
        </w:rPr>
        <w:t xml:space="preserve"> </w:t>
      </w:r>
      <w:r w:rsidR="00FA0650">
        <w:rPr>
          <w:b w:val="0"/>
          <w:szCs w:val="24"/>
        </w:rPr>
        <w:t>309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 осуществляет </w:t>
      </w:r>
      <w:r w:rsidR="007211C2">
        <w:t>Комитет по управлению муниципальной собственностью и земельным отношениям Администрации Фировского района (далее – КУМС и ЗО)</w:t>
      </w:r>
      <w:r w:rsidRPr="000624A0">
        <w:t>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E70005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802306">
        <w:rPr>
          <w:sz w:val="24"/>
        </w:rPr>
        <w:t>26.12.2018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E70005" w:rsidP="00E70005">
      <w:pPr>
        <w:tabs>
          <w:tab w:val="left" w:pos="709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3D0C68"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="003D0C68" w:rsidRPr="00B51C92">
        <w:rPr>
          <w:sz w:val="24"/>
          <w:szCs w:val="24"/>
        </w:rPr>
        <w:t xml:space="preserve"> земельного участка: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6867"/>
      </w:tblGrid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867" w:type="dxa"/>
            <w:shd w:val="clear" w:color="auto" w:fill="auto"/>
          </w:tcPr>
          <w:p w:rsidR="003D0C68" w:rsidRDefault="003D0C68" w:rsidP="00802306">
            <w:pPr>
              <w:tabs>
                <w:tab w:val="left" w:pos="319"/>
                <w:tab w:val="left" w:pos="3559"/>
                <w:tab w:val="left" w:pos="3696"/>
              </w:tabs>
              <w:ind w:left="-41" w:right="601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802306" w:rsidRDefault="005603BD" w:rsidP="00456673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район,</w:t>
            </w:r>
            <w:r w:rsidR="00456673">
              <w:rPr>
                <w:szCs w:val="24"/>
              </w:rPr>
              <w:t xml:space="preserve"> г/</w:t>
            </w:r>
            <w:proofErr w:type="gramStart"/>
            <w:r w:rsidR="00456673">
              <w:rPr>
                <w:szCs w:val="24"/>
              </w:rPr>
              <w:t>п</w:t>
            </w:r>
            <w:proofErr w:type="gramEnd"/>
            <w:r w:rsidR="00456673">
              <w:rPr>
                <w:szCs w:val="24"/>
              </w:rPr>
              <w:t xml:space="preserve"> Великооктябрьское</w:t>
            </w:r>
            <w:r w:rsidR="00282FC6">
              <w:rPr>
                <w:szCs w:val="24"/>
              </w:rPr>
              <w:t>,</w:t>
            </w:r>
          </w:p>
          <w:p w:rsidR="003D0C68" w:rsidRPr="00802306" w:rsidRDefault="00456673" w:rsidP="00456673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д. Большое Эскино, д.57Н.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867" w:type="dxa"/>
            <w:shd w:val="clear" w:color="auto" w:fill="auto"/>
          </w:tcPr>
          <w:p w:rsidR="003D0C68" w:rsidRPr="007C48C0" w:rsidRDefault="007211C2" w:rsidP="00CA0B24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>З</w:t>
            </w:r>
            <w:r w:rsidR="003D0C68" w:rsidRPr="007C48C0">
              <w:rPr>
                <w:sz w:val="24"/>
                <w:szCs w:val="24"/>
              </w:rPr>
              <w:t xml:space="preserve">емли </w:t>
            </w:r>
            <w:r w:rsidR="00CA0B24">
              <w:rPr>
                <w:sz w:val="24"/>
                <w:szCs w:val="24"/>
              </w:rPr>
              <w:t>населённых пунктов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867" w:type="dxa"/>
            <w:shd w:val="clear" w:color="auto" w:fill="auto"/>
          </w:tcPr>
          <w:p w:rsidR="003D0C68" w:rsidRPr="007C48C0" w:rsidRDefault="00802306" w:rsidP="00CC1ABA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CC1ABA">
              <w:rPr>
                <w:sz w:val="24"/>
                <w:szCs w:val="24"/>
              </w:rPr>
              <w:t>униципальная</w:t>
            </w:r>
            <w:r w:rsidR="000624A0">
              <w:rPr>
                <w:sz w:val="24"/>
                <w:szCs w:val="24"/>
              </w:rPr>
              <w:t xml:space="preserve"> собственность 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867" w:type="dxa"/>
            <w:shd w:val="clear" w:color="auto" w:fill="auto"/>
          </w:tcPr>
          <w:p w:rsidR="003D0C68" w:rsidRPr="00733A01" w:rsidRDefault="005432F9" w:rsidP="00456673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7211C2">
              <w:rPr>
                <w:color w:val="000000"/>
                <w:sz w:val="24"/>
                <w:szCs w:val="24"/>
              </w:rPr>
              <w:t>000001</w:t>
            </w:r>
            <w:r w:rsidR="00456673">
              <w:rPr>
                <w:color w:val="000000"/>
                <w:sz w:val="24"/>
                <w:szCs w:val="24"/>
              </w:rPr>
              <w:t>6</w:t>
            </w:r>
            <w:r w:rsidR="007211C2">
              <w:rPr>
                <w:color w:val="000000"/>
                <w:sz w:val="24"/>
                <w:szCs w:val="24"/>
              </w:rPr>
              <w:t>:1</w:t>
            </w:r>
            <w:r w:rsidR="00456673">
              <w:rPr>
                <w:color w:val="000000"/>
                <w:sz w:val="24"/>
                <w:szCs w:val="24"/>
              </w:rPr>
              <w:t>011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867" w:type="dxa"/>
            <w:shd w:val="clear" w:color="auto" w:fill="auto"/>
          </w:tcPr>
          <w:p w:rsidR="003D0C68" w:rsidRPr="00733A01" w:rsidRDefault="0045667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867" w:type="dxa"/>
            <w:shd w:val="clear" w:color="auto" w:fill="auto"/>
          </w:tcPr>
          <w:p w:rsidR="003D0C68" w:rsidRPr="00733A01" w:rsidRDefault="00456673" w:rsidP="005603B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жилищного строительства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6867" w:type="dxa"/>
            <w:shd w:val="clear" w:color="auto" w:fill="auto"/>
          </w:tcPr>
          <w:p w:rsidR="003D0C68" w:rsidRPr="007C48C0" w:rsidRDefault="00456673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28159,98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867" w:type="dxa"/>
            <w:shd w:val="clear" w:color="auto" w:fill="auto"/>
          </w:tcPr>
          <w:p w:rsidR="003D0C68" w:rsidRPr="007C48C0" w:rsidRDefault="004A0A8C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845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867" w:type="dxa"/>
            <w:shd w:val="clear" w:color="auto" w:fill="auto"/>
          </w:tcPr>
          <w:p w:rsidR="003D0C68" w:rsidRPr="007C48C0" w:rsidRDefault="004A0A8C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5632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6867" w:type="dxa"/>
            <w:shd w:val="clear" w:color="auto" w:fill="auto"/>
          </w:tcPr>
          <w:p w:rsidR="003D0C68" w:rsidRPr="00CC1ABA" w:rsidRDefault="00051627" w:rsidP="00E70005">
            <w:pPr>
              <w:ind w:righ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д. Большое Эскино отсутствует возможность  подключения  к  системе  водоотведения, тепло-, водоснабжения.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867" w:type="dxa"/>
            <w:shd w:val="clear" w:color="auto" w:fill="auto"/>
          </w:tcPr>
          <w:p w:rsidR="003D0C68" w:rsidRPr="007C48C0" w:rsidRDefault="004A0A8C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282FC6">
        <w:tc>
          <w:tcPr>
            <w:tcW w:w="2772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6867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</w:t>
            </w:r>
            <w:r w:rsidRPr="00972437">
              <w:lastRenderedPageBreak/>
              <w:t>определенном Правительством Российской Федерации (www.torgi.gov.ru)</w:t>
            </w:r>
          </w:p>
        </w:tc>
      </w:tr>
    </w:tbl>
    <w:p w:rsidR="003D0C68" w:rsidRDefault="003D0C68" w:rsidP="00E70005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 w:rsidR="00746CE1">
        <w:rPr>
          <w:sz w:val="24"/>
        </w:rPr>
        <w:t xml:space="preserve">осуществляется КУМС и ЗО с </w:t>
      </w:r>
      <w:r w:rsidR="00282FC6">
        <w:rPr>
          <w:sz w:val="24"/>
        </w:rPr>
        <w:t>26.11.2018</w:t>
      </w:r>
      <w:r w:rsidR="00746CE1">
        <w:rPr>
          <w:sz w:val="24"/>
        </w:rPr>
        <w:t xml:space="preserve"> по </w:t>
      </w:r>
      <w:r w:rsidR="00282FC6">
        <w:rPr>
          <w:sz w:val="24"/>
        </w:rPr>
        <w:t>20.12.2018</w:t>
      </w:r>
      <w:r w:rsidRPr="000624A0">
        <w:rPr>
          <w:sz w:val="24"/>
        </w:rPr>
        <w:t xml:space="preserve">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746CE1">
        <w:rPr>
          <w:rFonts w:ascii="Times New Roman" w:hAnsi="Times New Roman" w:cs="Times New Roman"/>
          <w:sz w:val="24"/>
        </w:rPr>
        <w:t xml:space="preserve"> </w:t>
      </w:r>
      <w:r w:rsidR="00282FC6">
        <w:rPr>
          <w:rFonts w:ascii="Times New Roman" w:hAnsi="Times New Roman" w:cs="Times New Roman"/>
          <w:sz w:val="24"/>
        </w:rPr>
        <w:t xml:space="preserve">21.12.2018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05CE5" w:rsidRPr="00A05CE5" w:rsidRDefault="003D0C68" w:rsidP="00E70005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E70005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/>
          <w:b/>
          <w:color w:val="000000"/>
          <w:sz w:val="24"/>
        </w:rPr>
      </w:pPr>
      <w:r w:rsidRPr="00E70005">
        <w:rPr>
          <w:rFonts w:ascii="Times New Roman" w:hAnsi="Times New Roman"/>
          <w:b/>
          <w:color w:val="000000"/>
          <w:sz w:val="24"/>
        </w:rPr>
        <w:t>Сумма задатка  перечисляется по следующим реквизитам:</w:t>
      </w:r>
    </w:p>
    <w:p w:rsidR="00D12D46" w:rsidRPr="00E70005" w:rsidRDefault="003D0C68" w:rsidP="00E70005">
      <w:pPr>
        <w:pStyle w:val="ConsNormal"/>
        <w:widowControl/>
        <w:ind w:right="0" w:firstLine="709"/>
        <w:jc w:val="both"/>
        <w:rPr>
          <w:b/>
          <w:sz w:val="24"/>
          <w:szCs w:val="24"/>
        </w:rPr>
      </w:pPr>
      <w:r w:rsidRPr="00E70005">
        <w:rPr>
          <w:rFonts w:ascii="Times New Roman" w:hAnsi="Times New Roman"/>
          <w:b/>
          <w:sz w:val="24"/>
        </w:rPr>
        <w:t xml:space="preserve">Счет № </w:t>
      </w:r>
      <w:r w:rsidR="00A05CE5" w:rsidRPr="00E70005">
        <w:rPr>
          <w:b/>
          <w:sz w:val="24"/>
          <w:szCs w:val="24"/>
        </w:rPr>
        <w:t>403028107</w:t>
      </w:r>
      <w:r w:rsidR="00D12D46" w:rsidRPr="00E70005">
        <w:rPr>
          <w:b/>
          <w:sz w:val="24"/>
          <w:szCs w:val="24"/>
        </w:rPr>
        <w:t>00003000122</w:t>
      </w:r>
    </w:p>
    <w:p w:rsidR="003D0C68" w:rsidRPr="00E70005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</w:rPr>
      </w:pPr>
      <w:r w:rsidRPr="00E70005">
        <w:rPr>
          <w:rFonts w:ascii="Times New Roman" w:hAnsi="Times New Roman"/>
          <w:b/>
          <w:sz w:val="24"/>
        </w:rPr>
        <w:t xml:space="preserve">Получатель: УФК по Тверской области (Администрация </w:t>
      </w:r>
      <w:r w:rsidR="00D12D46" w:rsidRPr="00E70005">
        <w:rPr>
          <w:rFonts w:ascii="Times New Roman" w:hAnsi="Times New Roman"/>
          <w:b/>
          <w:sz w:val="24"/>
        </w:rPr>
        <w:t xml:space="preserve">Фировского района </w:t>
      </w:r>
      <w:r w:rsidRPr="00E70005">
        <w:rPr>
          <w:rFonts w:ascii="Times New Roman" w:hAnsi="Times New Roman"/>
          <w:b/>
          <w:sz w:val="24"/>
        </w:rPr>
        <w:t xml:space="preserve"> </w:t>
      </w:r>
      <w:proofErr w:type="gramStart"/>
      <w:r w:rsidRPr="00E70005">
        <w:rPr>
          <w:rFonts w:ascii="Times New Roman" w:hAnsi="Times New Roman"/>
          <w:b/>
          <w:sz w:val="24"/>
        </w:rPr>
        <w:t>л</w:t>
      </w:r>
      <w:proofErr w:type="gramEnd"/>
      <w:r w:rsidRPr="00E70005">
        <w:rPr>
          <w:rFonts w:ascii="Times New Roman" w:hAnsi="Times New Roman"/>
          <w:b/>
          <w:sz w:val="24"/>
        </w:rPr>
        <w:t xml:space="preserve">/с </w:t>
      </w:r>
      <w:r w:rsidR="00D12D46" w:rsidRPr="00E70005">
        <w:rPr>
          <w:rFonts w:ascii="Times New Roman" w:hAnsi="Times New Roman"/>
          <w:b/>
          <w:sz w:val="24"/>
        </w:rPr>
        <w:t>05363026070</w:t>
      </w:r>
      <w:r w:rsidRPr="00E70005">
        <w:rPr>
          <w:rFonts w:ascii="Times New Roman" w:hAnsi="Times New Roman"/>
          <w:b/>
          <w:sz w:val="24"/>
        </w:rPr>
        <w:t xml:space="preserve">) </w:t>
      </w:r>
    </w:p>
    <w:p w:rsidR="003D0C68" w:rsidRPr="00E70005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</w:rPr>
      </w:pPr>
      <w:r w:rsidRPr="00E70005">
        <w:rPr>
          <w:rFonts w:ascii="Times New Roman" w:hAnsi="Times New Roman"/>
          <w:b/>
          <w:sz w:val="24"/>
        </w:rPr>
        <w:t>Банк получателя: ОТДЕЛЕНИЕ ТВЕРЬ г. Тверь</w:t>
      </w:r>
    </w:p>
    <w:p w:rsidR="003D0C68" w:rsidRPr="00E70005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</w:rPr>
      </w:pPr>
      <w:r w:rsidRPr="00E70005">
        <w:rPr>
          <w:rFonts w:ascii="Times New Roman" w:hAnsi="Times New Roman"/>
          <w:b/>
          <w:sz w:val="24"/>
        </w:rPr>
        <w:t>ИНН 694500</w:t>
      </w:r>
      <w:r w:rsidR="00D12D46" w:rsidRPr="00E70005">
        <w:rPr>
          <w:rFonts w:ascii="Times New Roman" w:hAnsi="Times New Roman"/>
          <w:b/>
          <w:sz w:val="24"/>
        </w:rPr>
        <w:t>1520</w:t>
      </w:r>
      <w:r w:rsidRPr="00E70005">
        <w:rPr>
          <w:rFonts w:ascii="Times New Roman" w:hAnsi="Times New Roman"/>
          <w:b/>
          <w:sz w:val="24"/>
        </w:rPr>
        <w:t xml:space="preserve"> </w:t>
      </w:r>
    </w:p>
    <w:p w:rsidR="003D0C68" w:rsidRPr="00E70005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</w:rPr>
      </w:pPr>
      <w:r w:rsidRPr="00E70005">
        <w:rPr>
          <w:rFonts w:ascii="Times New Roman" w:hAnsi="Times New Roman"/>
          <w:b/>
          <w:sz w:val="24"/>
        </w:rPr>
        <w:t>КПП 694501001</w:t>
      </w:r>
    </w:p>
    <w:p w:rsidR="003D0C68" w:rsidRPr="00E70005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/>
          <w:b/>
          <w:sz w:val="24"/>
        </w:rPr>
      </w:pPr>
      <w:r w:rsidRPr="00E70005">
        <w:rPr>
          <w:rFonts w:ascii="Times New Roman" w:hAnsi="Times New Roman"/>
          <w:b/>
          <w:sz w:val="24"/>
        </w:rPr>
        <w:t>БИК 042809001</w:t>
      </w:r>
    </w:p>
    <w:p w:rsidR="004407A0" w:rsidRPr="006E49A3" w:rsidRDefault="004407A0" w:rsidP="00E70005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 w:rsidRPr="00E70005">
        <w:rPr>
          <w:rFonts w:ascii="Times New Roman" w:hAnsi="Times New Roman"/>
          <w:b/>
          <w:sz w:val="24"/>
        </w:rPr>
        <w:t>ОКТМО 28657151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E70005">
        <w:rPr>
          <w:rFonts w:ascii="Times New Roman" w:hAnsi="Times New Roman"/>
          <w:sz w:val="24"/>
        </w:rPr>
        <w:t xml:space="preserve">20.12.2018.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E7000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E70005">
      <w:pPr>
        <w:ind w:firstLine="709"/>
        <w:jc w:val="both"/>
        <w:rPr>
          <w:sz w:val="24"/>
          <w:szCs w:val="24"/>
        </w:rPr>
      </w:pPr>
    </w:p>
    <w:p w:rsidR="003D0C68" w:rsidRDefault="003D0C68" w:rsidP="00E70005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E70005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E70005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lastRenderedPageBreak/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E70005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E7000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E70005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</w:t>
      </w:r>
      <w:r w:rsidR="00E70005">
        <w:rPr>
          <w:rFonts w:ascii="Times New Roman" w:hAnsi="Times New Roman" w:cs="Times New Roman"/>
          <w:sz w:val="24"/>
          <w:szCs w:val="24"/>
        </w:rPr>
        <w:t>»</w:t>
      </w:r>
      <w:r w:rsidRPr="003D0C68">
        <w:rPr>
          <w:rFonts w:ascii="Times New Roman" w:hAnsi="Times New Roman" w:cs="Times New Roman"/>
          <w:sz w:val="24"/>
          <w:szCs w:val="24"/>
        </w:rPr>
        <w:t>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8023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1627"/>
    <w:rsid w:val="00057D51"/>
    <w:rsid w:val="000624A0"/>
    <w:rsid w:val="00072392"/>
    <w:rsid w:val="000A79C0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60F00"/>
    <w:rsid w:val="00282FC6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07A0"/>
    <w:rsid w:val="004443C8"/>
    <w:rsid w:val="00444B0C"/>
    <w:rsid w:val="004465AD"/>
    <w:rsid w:val="00451048"/>
    <w:rsid w:val="00456673"/>
    <w:rsid w:val="004610CF"/>
    <w:rsid w:val="00473D98"/>
    <w:rsid w:val="00473E0F"/>
    <w:rsid w:val="004820DE"/>
    <w:rsid w:val="00493A6D"/>
    <w:rsid w:val="00495FDC"/>
    <w:rsid w:val="00497412"/>
    <w:rsid w:val="004A0A8C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479"/>
    <w:rsid w:val="006F7589"/>
    <w:rsid w:val="00713CEA"/>
    <w:rsid w:val="007172B9"/>
    <w:rsid w:val="007211C2"/>
    <w:rsid w:val="00730DD1"/>
    <w:rsid w:val="00731F80"/>
    <w:rsid w:val="00733A01"/>
    <w:rsid w:val="00734B18"/>
    <w:rsid w:val="0074335B"/>
    <w:rsid w:val="00746CE1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77E"/>
    <w:rsid w:val="007C7A5E"/>
    <w:rsid w:val="007E4AA5"/>
    <w:rsid w:val="00802306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BF6B37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B24"/>
    <w:rsid w:val="00CA0CEF"/>
    <w:rsid w:val="00CA42C1"/>
    <w:rsid w:val="00CA7607"/>
    <w:rsid w:val="00CB29CB"/>
    <w:rsid w:val="00CB3D6F"/>
    <w:rsid w:val="00CC1ABA"/>
    <w:rsid w:val="00CC2332"/>
    <w:rsid w:val="00CD0B03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76E00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70005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436FA"/>
    <w:rsid w:val="00F4562B"/>
    <w:rsid w:val="00F50B99"/>
    <w:rsid w:val="00F5434D"/>
    <w:rsid w:val="00F71E8B"/>
    <w:rsid w:val="00F76F5B"/>
    <w:rsid w:val="00FA0650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1713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11461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14</cp:revision>
  <cp:lastPrinted>2017-06-13T13:02:00Z</cp:lastPrinted>
  <dcterms:created xsi:type="dcterms:W3CDTF">2018-11-19T11:42:00Z</dcterms:created>
  <dcterms:modified xsi:type="dcterms:W3CDTF">2018-11-23T13:19:00Z</dcterms:modified>
</cp:coreProperties>
</file>