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charts/chart9.xml" ContentType="application/vnd.openxmlformats-officedocument.drawingml.chart+xml"/>
  <Override PartName="/word/theme/themeOverride8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C0" w:rsidRPr="00C95608" w:rsidRDefault="00D857C0" w:rsidP="00083D97">
      <w:pPr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95608">
        <w:rPr>
          <w:rFonts w:ascii="Times New Roman" w:eastAsia="Times New Roman" w:hAnsi="Times New Roman"/>
          <w:b/>
          <w:sz w:val="36"/>
          <w:szCs w:val="36"/>
          <w:lang w:eastAsia="ru-RU"/>
        </w:rPr>
        <w:t>Итоги</w:t>
      </w:r>
    </w:p>
    <w:p w:rsidR="00D857C0" w:rsidRPr="00C95608" w:rsidRDefault="00D857C0" w:rsidP="00083D9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95608">
        <w:rPr>
          <w:rFonts w:ascii="Times New Roman" w:eastAsia="Times New Roman" w:hAnsi="Times New Roman"/>
          <w:b/>
          <w:sz w:val="36"/>
          <w:szCs w:val="36"/>
          <w:lang w:eastAsia="ru-RU"/>
        </w:rPr>
        <w:t>социально – экономического</w:t>
      </w:r>
    </w:p>
    <w:p w:rsidR="00083D97" w:rsidRPr="00C95608" w:rsidRDefault="00D857C0" w:rsidP="00083D9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95608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развития Фировского района </w:t>
      </w:r>
    </w:p>
    <w:p w:rsidR="00D857C0" w:rsidRPr="00C95608" w:rsidRDefault="00D857C0" w:rsidP="00083D9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95608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за 9 месяцев 201</w:t>
      </w:r>
      <w:r w:rsidR="00F77B89">
        <w:rPr>
          <w:rFonts w:ascii="Times New Roman" w:eastAsia="Times New Roman" w:hAnsi="Times New Roman"/>
          <w:b/>
          <w:sz w:val="36"/>
          <w:szCs w:val="36"/>
          <w:lang w:eastAsia="ru-RU"/>
        </w:rPr>
        <w:t>9</w:t>
      </w:r>
      <w:r w:rsidRPr="00C95608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года</w:t>
      </w:r>
    </w:p>
    <w:p w:rsidR="00D857C0" w:rsidRPr="00D857C0" w:rsidRDefault="00D857C0" w:rsidP="00083D9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36"/>
          <w:szCs w:val="36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36"/>
          <w:szCs w:val="36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36"/>
          <w:szCs w:val="36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36"/>
          <w:szCs w:val="36"/>
          <w:lang w:eastAsia="ru-RU"/>
        </w:rPr>
      </w:pPr>
    </w:p>
    <w:p w:rsidR="00D857C0" w:rsidRPr="00D857C0" w:rsidRDefault="006D5C60" w:rsidP="00D857C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975735" cy="4612005"/>
            <wp:effectExtent l="0" t="0" r="0" b="0"/>
            <wp:docPr id="1" name="Рисунок 1" descr="Описание: rn-fir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n-firov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735" cy="461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7C0" w:rsidRPr="00C95608" w:rsidRDefault="00D857C0" w:rsidP="00D857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Toc171503223"/>
      <w:bookmarkStart w:id="1" w:name="_Toc171503469"/>
      <w:bookmarkStart w:id="2" w:name="_Toc171504097"/>
      <w:bookmarkStart w:id="3" w:name="_Toc171508846"/>
      <w:bookmarkStart w:id="4" w:name="_Toc171847323"/>
      <w:bookmarkStart w:id="5" w:name="_Toc171847498"/>
      <w:bookmarkStart w:id="6" w:name="_Toc171849058"/>
      <w:bookmarkStart w:id="7" w:name="_Toc175455927"/>
      <w:bookmarkStart w:id="8" w:name="_Toc175455979"/>
      <w:bookmarkStart w:id="9" w:name="_Toc175456242"/>
      <w:bookmarkStart w:id="10" w:name="_Toc175473563"/>
      <w:bookmarkStart w:id="11" w:name="_Toc175550076"/>
      <w:bookmarkStart w:id="12" w:name="_Toc176003686"/>
      <w:bookmarkStart w:id="13" w:name="_Toc176003737"/>
      <w:bookmarkStart w:id="14" w:name="_Toc176003816"/>
      <w:bookmarkStart w:id="15" w:name="_Toc176003903"/>
      <w:bookmarkStart w:id="16" w:name="_Toc176075383"/>
      <w:bookmarkStart w:id="17" w:name="_Toc205090278"/>
      <w:r w:rsidRPr="00D857C0"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  <w:bookmarkStart w:id="18" w:name="_Toc205693786"/>
      <w:bookmarkStart w:id="19" w:name="_Toc205719922"/>
      <w:bookmarkStart w:id="20" w:name="_Toc205720016"/>
      <w:r w:rsidRPr="00C956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D857C0" w:rsidRPr="00D857C0" w:rsidRDefault="00D857C0" w:rsidP="00D857C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:rsidR="00D857C0" w:rsidRPr="00D857C0" w:rsidRDefault="00D857C0" w:rsidP="00D857C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57C0" w:rsidRPr="00C95608" w:rsidRDefault="00D857C0" w:rsidP="00D857C0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КРАТКАЯ ХАРАКТЕРИСТИКА МО «ФИРОВСКИЙ РАЙОН»………………...……………</w:t>
      </w:r>
      <w:r w:rsidR="00C95608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D857C0" w:rsidRPr="00C95608" w:rsidRDefault="00D857C0" w:rsidP="00D857C0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 xml:space="preserve">Географическое положение…………………………………………………………….....…………...3 </w:t>
      </w:r>
    </w:p>
    <w:p w:rsidR="00D857C0" w:rsidRPr="00C95608" w:rsidRDefault="00D857C0" w:rsidP="00D857C0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Страницы истории………………………………………………………….…………..…..…………..4</w:t>
      </w:r>
    </w:p>
    <w:p w:rsidR="00D857C0" w:rsidRPr="00C95608" w:rsidRDefault="00D857C0" w:rsidP="00D857C0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родине Преподобного чудотворца Нила </w:t>
      </w:r>
      <w:proofErr w:type="spellStart"/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Столобенского</w:t>
      </w:r>
      <w:proofErr w:type="spellEnd"/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……………….………………………4</w:t>
      </w:r>
    </w:p>
    <w:p w:rsidR="00D857C0" w:rsidRPr="00C95608" w:rsidRDefault="00D857C0" w:rsidP="00D857C0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с. Рождество…………………………………………………………………….………...…..………...5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ДЕМОГРАФИЯ ……………………………………………………………………….…..…..……...</w:t>
      </w:r>
      <w:r w:rsidR="002E44C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..</w:t>
      </w:r>
      <w:r w:rsidRPr="00C9560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6</w:t>
      </w:r>
    </w:p>
    <w:p w:rsidR="00D857C0" w:rsidRPr="00C95608" w:rsidRDefault="00D857C0" w:rsidP="00D857C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ТРУД………………………………………………………………………………….….…....…..........</w:t>
      </w:r>
      <w:r w:rsidR="002E44C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2225C" w:rsidRPr="00C95608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857C0" w:rsidRPr="00C95608" w:rsidRDefault="00D857C0" w:rsidP="00D857C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ДЕНЕЖНЫЕ ДОХОДЫ НАСЕЛЕНИЯ………………………………………….……..…………</w:t>
      </w:r>
      <w:r w:rsidR="002E44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  <w:r w:rsidR="0072225C" w:rsidRPr="00C956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ПРОМЫШЛЕННОСТЬ…………………………………………………….…………...…………</w:t>
      </w:r>
      <w:r w:rsidR="0072225C" w:rsidRPr="00C95608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2E44CE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72225C" w:rsidRPr="00C9560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857C0" w:rsidRPr="00C95608" w:rsidRDefault="00D857C0" w:rsidP="00D857C0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noProof/>
          <w:sz w:val="24"/>
          <w:szCs w:val="24"/>
          <w:lang w:eastAsia="ru-RU"/>
        </w:rPr>
        <w:t>ИНВЕСТИЦИИ……………………………………………………………………….….….…...</w:t>
      </w:r>
      <w:r w:rsidR="0072225C" w:rsidRPr="00C95608">
        <w:rPr>
          <w:rFonts w:ascii="Times New Roman" w:eastAsia="Times New Roman" w:hAnsi="Times New Roman"/>
          <w:noProof/>
          <w:sz w:val="24"/>
          <w:szCs w:val="24"/>
          <w:lang w:eastAsia="ru-RU"/>
        </w:rPr>
        <w:t>.....</w:t>
      </w:r>
      <w:r w:rsidR="002E44CE">
        <w:rPr>
          <w:rFonts w:ascii="Times New Roman" w:eastAsia="Times New Roman" w:hAnsi="Times New Roman"/>
          <w:noProof/>
          <w:sz w:val="24"/>
          <w:szCs w:val="24"/>
          <w:lang w:eastAsia="ru-RU"/>
        </w:rPr>
        <w:t>..</w:t>
      </w:r>
      <w:r w:rsidR="0072225C" w:rsidRPr="00C95608">
        <w:rPr>
          <w:rFonts w:ascii="Times New Roman" w:eastAsia="Times New Roman" w:hAnsi="Times New Roman"/>
          <w:noProof/>
          <w:sz w:val="24"/>
          <w:szCs w:val="24"/>
          <w:lang w:eastAsia="ru-RU"/>
        </w:rPr>
        <w:t>10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ЖИЛИЩНО-КОММУНАЛЬНОЕ ХОЗЯЙСТВО…………………………………...….………</w:t>
      </w:r>
      <w:r w:rsidR="002E44CE">
        <w:rPr>
          <w:rFonts w:ascii="Times New Roman" w:eastAsia="Times New Roman" w:hAnsi="Times New Roman"/>
          <w:bCs/>
          <w:sz w:val="24"/>
          <w:szCs w:val="24"/>
          <w:lang w:eastAsia="ru-RU"/>
        </w:rPr>
        <w:t>…..</w:t>
      </w:r>
      <w:r w:rsidR="0072225C"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</w:p>
    <w:p w:rsidR="00D857C0" w:rsidRPr="00C95608" w:rsidRDefault="00D857C0" w:rsidP="00D857C0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ДОРОЖНОЕ ХОЗЯЙСТВО……………………………………………...…………..…..………...</w:t>
      </w:r>
      <w:r w:rsidR="002E44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...</w:t>
      </w:r>
      <w:r w:rsidRPr="00C956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2225C" w:rsidRPr="00C956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МАЛОЕ ПРЕДПРИНИМАТЕЛЬСТВО  И ПОТРЕБИТЕЛЬСКИЙ РЫНОК...……………</w:t>
      </w:r>
      <w:r w:rsidR="002E44CE"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2225C" w:rsidRPr="00C95608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D857C0" w:rsidRPr="00C95608" w:rsidRDefault="00D857C0" w:rsidP="00D857C0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ФИНАНСОВОЕ СОСТОЯНИЕ ПРЕДПРИЯТИЙ И ОРГАНИЗАЦИЙ…..……...…………</w:t>
      </w:r>
      <w:r w:rsidR="002E44CE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72225C" w:rsidRPr="00C95608">
        <w:rPr>
          <w:rFonts w:ascii="Times New Roman" w:eastAsia="Times New Roman" w:hAnsi="Times New Roman"/>
          <w:sz w:val="24"/>
          <w:szCs w:val="24"/>
          <w:lang w:eastAsia="ru-RU"/>
        </w:rPr>
        <w:t>16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СЕЛЬСКОЕ ХОЗЯЙСТВО………………………………………………….……..…….…………</w:t>
      </w:r>
      <w:r w:rsidR="002E44CE">
        <w:rPr>
          <w:rFonts w:ascii="Times New Roman" w:eastAsia="Times New Roman" w:hAnsi="Times New Roman"/>
          <w:bCs/>
          <w:sz w:val="24"/>
          <w:szCs w:val="24"/>
          <w:lang w:eastAsia="ru-RU"/>
        </w:rPr>
        <w:t>...</w:t>
      </w:r>
      <w:r w:rsidR="0072225C"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СОЦИАЛЬНАЯ ЗАЩИТА…………………………………………………………....…...………</w:t>
      </w:r>
      <w:r w:rsidR="002E44CE">
        <w:rPr>
          <w:rFonts w:ascii="Times New Roman" w:eastAsia="Times New Roman" w:hAnsi="Times New Roman"/>
          <w:bCs/>
          <w:sz w:val="24"/>
          <w:szCs w:val="24"/>
          <w:lang w:eastAsia="ru-RU"/>
        </w:rPr>
        <w:t>…</w:t>
      </w:r>
      <w:r w:rsidR="0072225C"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</w:p>
    <w:p w:rsidR="00D857C0" w:rsidRPr="00C95608" w:rsidRDefault="00D857C0" w:rsidP="00D857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sz w:val="24"/>
          <w:szCs w:val="24"/>
          <w:lang w:eastAsia="ru-RU"/>
        </w:rPr>
        <w:t>ЗДРАВООХРАНЕНИЕ……………………………………………………………………………</w:t>
      </w:r>
      <w:r w:rsidR="0072225C" w:rsidRPr="00C95608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2E44CE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72225C" w:rsidRPr="00C95608"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ОБРАЗОВАНИЕ…………………………………………………………..………….…....………...</w:t>
      </w:r>
      <w:r w:rsidR="002E44CE">
        <w:rPr>
          <w:rFonts w:ascii="Times New Roman" w:eastAsia="Times New Roman" w:hAnsi="Times New Roman"/>
          <w:bCs/>
          <w:sz w:val="24"/>
          <w:szCs w:val="24"/>
          <w:lang w:eastAsia="ru-RU"/>
        </w:rPr>
        <w:t>..</w:t>
      </w:r>
      <w:r w:rsidR="0072225C"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</w:p>
    <w:p w:rsidR="00D857C0" w:rsidRPr="00C95608" w:rsidRDefault="00D857C0" w:rsidP="00D857C0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КУЛЬТУРА ……………………………………………………………………….….…..….………</w:t>
      </w:r>
      <w:r w:rsidR="002E44CE">
        <w:rPr>
          <w:rFonts w:ascii="Times New Roman" w:eastAsia="Times New Roman" w:hAnsi="Times New Roman"/>
          <w:bCs/>
          <w:sz w:val="24"/>
          <w:szCs w:val="24"/>
          <w:lang w:eastAsia="ru-RU"/>
        </w:rPr>
        <w:t>..</w:t>
      </w:r>
      <w:r w:rsidR="0072225C" w:rsidRPr="00C95608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</w:p>
    <w:p w:rsidR="00D857C0" w:rsidRPr="00C95608" w:rsidRDefault="0072225C" w:rsidP="00D857C0">
      <w:pPr>
        <w:widowControl w:val="0"/>
        <w:shd w:val="clear" w:color="auto" w:fill="FFFFFF"/>
        <w:tabs>
          <w:tab w:val="left" w:pos="30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</w:pPr>
      <w:r w:rsidRPr="00C95608"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  <w:t xml:space="preserve">ФИЗИЧЕСКАЯ КУЛЬТУРА И </w:t>
      </w:r>
      <w:r w:rsidR="00D857C0" w:rsidRPr="00C95608"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  <w:t>СПОРТ …………</w:t>
      </w:r>
      <w:r w:rsidRPr="00C95608"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  <w:t>…………………………………………………</w:t>
      </w:r>
      <w:r w:rsidR="002E44CE"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  <w:t>…....</w:t>
      </w:r>
      <w:r w:rsidRPr="00C95608"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  <w:t>28</w:t>
      </w:r>
    </w:p>
    <w:p w:rsidR="00D857C0" w:rsidRPr="00C95608" w:rsidRDefault="00D857C0" w:rsidP="00D857C0">
      <w:pPr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C95608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МУНИЦИПАЛЬНЫЙ ЗАКАЗ……………………………………………………………….........</w:t>
      </w:r>
      <w:r w:rsidR="002E44CE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....</w:t>
      </w:r>
      <w:r w:rsidR="0072225C" w:rsidRPr="00C95608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29</w:t>
      </w:r>
    </w:p>
    <w:p w:rsidR="00D857C0" w:rsidRPr="00D857C0" w:rsidRDefault="00D857C0" w:rsidP="00D857C0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857C0" w:rsidRPr="00D857C0" w:rsidRDefault="00D857C0" w:rsidP="00D857C0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D857C0" w:rsidRPr="00D857C0" w:rsidRDefault="00D857C0" w:rsidP="00D857C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u w:val="single"/>
          <w:lang w:eastAsia="ru-RU"/>
        </w:rPr>
      </w:pPr>
      <w:r w:rsidRPr="00D857C0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br w:type="page"/>
      </w:r>
    </w:p>
    <w:p w:rsidR="00533940" w:rsidRDefault="00D857C0" w:rsidP="00D857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" w:name="_Toc196932314"/>
      <w:bookmarkStart w:id="22" w:name="_Toc196934611"/>
      <w:bookmarkStart w:id="23" w:name="_Toc197158949"/>
      <w:bookmarkStart w:id="24" w:name="_Toc197159076"/>
      <w:bookmarkStart w:id="25" w:name="_Toc197159810"/>
      <w:bookmarkStart w:id="26" w:name="_Toc205719923"/>
      <w:bookmarkStart w:id="27" w:name="_Toc205720017"/>
      <w:bookmarkStart w:id="28" w:name="_Toc205720161"/>
      <w:bookmarkStart w:id="29" w:name="_Toc139095227"/>
      <w:bookmarkStart w:id="30" w:name="_Toc196918161"/>
      <w:bookmarkStart w:id="31" w:name="_Toc196923100"/>
      <w:bookmarkStart w:id="32" w:name="_Toc196923567"/>
      <w:bookmarkStart w:id="33" w:name="_Toc196923671"/>
      <w:bookmarkStart w:id="34" w:name="_Toc196930090"/>
      <w:bookmarkStart w:id="35" w:name="_Toc205720791"/>
      <w:bookmarkStart w:id="36" w:name="_Toc205720829"/>
      <w:bookmarkStart w:id="37" w:name="_Toc235419395"/>
      <w:r w:rsidRPr="00D857C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КРАТКАЯ ХА</w:t>
      </w:r>
      <w:r w:rsidR="005339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РАКТЕРИСТИКА </w:t>
      </w:r>
      <w:proofErr w:type="gramStart"/>
      <w:r w:rsidR="00533940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</w:t>
      </w:r>
      <w:proofErr w:type="gramEnd"/>
    </w:p>
    <w:p w:rsidR="00D857C0" w:rsidRPr="00D857C0" w:rsidRDefault="00D857C0" w:rsidP="00D857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D857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БРАЗОВАНИЯ </w:t>
      </w:r>
      <w:bookmarkStart w:id="38" w:name="_Toc196932315"/>
      <w:bookmarkStart w:id="39" w:name="_Toc196934612"/>
      <w:bookmarkStart w:id="40" w:name="_Toc197158950"/>
      <w:bookmarkStart w:id="41" w:name="_Toc197159077"/>
      <w:bookmarkStart w:id="42" w:name="_Toc197159811"/>
      <w:bookmarkStart w:id="43" w:name="_Toc205719924"/>
      <w:bookmarkStart w:id="44" w:name="_Toc205720018"/>
      <w:bookmarkStart w:id="45" w:name="_Toc205720162"/>
      <w:r w:rsidRPr="00D857C0">
        <w:rPr>
          <w:rFonts w:ascii="Times New Roman" w:eastAsia="Times New Roman" w:hAnsi="Times New Roman"/>
          <w:b/>
          <w:sz w:val="24"/>
          <w:szCs w:val="24"/>
          <w:lang w:eastAsia="ru-RU"/>
        </w:rPr>
        <w:t>ФИРОВСКИЙ РАЙОН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D857C0" w:rsidRPr="00D857C0" w:rsidRDefault="00D857C0" w:rsidP="00D857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Географическое положение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Фировский район расположен в северо-западной части Тверской области. На северо-западе граничит с землями Новгородской области - с севера к нему примыкает Бологовский район и ЗАТО «Озерный», с востока «Вышневолоцкий», с юга и юго-запада Кувшиновский и Осташковский районы.</w:t>
      </w:r>
    </w:p>
    <w:p w:rsidR="00D857C0" w:rsidRPr="00D857C0" w:rsidRDefault="006D5C6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37990" cy="5947410"/>
            <wp:effectExtent l="0" t="0" r="0" b="0"/>
            <wp:docPr id="2" name="Рисунок 3" descr="Описание: Карта Фировский район пол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Карта Фировский район полная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594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Территория Фировского района составляет 1749,5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кв.км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. Состоит из 2 городских поселений – Фировское и Великооктябрьское городское поселение, и 3 сельских поселений – Фировское, Великооктябрьское и Рождественское сельское поселение.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Земли района расположены в бассейне рек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Шлины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Цны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, на Валдайской возвышенности, этим и определяются их природно-ландшафтные особенности. Высота над уровнем моря в высшей точке Валдайской возвышенности, расположенной почти на границе между Вышневолоцким, Фировским и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Кувшиновским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районами, составляет 346,5 метра над уровнем моря. Это макушка Валдая – вершина центра России. 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Территория Фировского района представляет собой холмистую равнину, что объясняется прохождением здесь границы последнего, валдайского оледенения, в результате которого 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образовалось большое количество мореных холмов. Северо-восточную часть района занимает Вышневолоцкая равнина с отметками порядка 160-200 м. В западной части проходит Осташковская гряда с высотой отдельных холмов до 287 м. Направление главного уклона с юго-запада на северо-восток. 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Гидрографическая сеть района развита хорошо, основными реками являются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Шлина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, Граничная,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Цна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. Район характеризуется обилием естественных водоемов. Наиболее крупными из них являются: озеро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Шлино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, его площадь 40 кв. км, (часть его расположена в соседней Новгородской области),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Серемо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– 15,6 кв. км, Граничное – 6,3 кв. км,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Тихмень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– 4,7 кв. км.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Леса в районе занимают площадь в 128,8 тыс. гектар. Это в основном смешанные леса с преобладанием сосны, ели, березы, осины и ольхи.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Почвы в районе преимущественно дерново-среднеподзолистые и дерново-сильноподзолистые; в восточной части района преобладают торфяные почвы верховых болот.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Климат района умеренно-континентальный. Зима умеренно мягкая, достаточно снежная. Лето умеренно-прохладное, влажное.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Поселок Фирово расположен в 58 км. от автотрассы Москва-Санкт-Петербург, в 200 км. от </w:t>
      </w:r>
      <w:proofErr w:type="spellStart"/>
      <w:r w:rsidRPr="00D8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Start"/>
      <w:r w:rsidRPr="00D8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.Т</w:t>
      </w:r>
      <w:proofErr w:type="gramEnd"/>
      <w:r w:rsidRPr="00D8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вери</w:t>
      </w:r>
      <w:proofErr w:type="spellEnd"/>
      <w:r w:rsidRPr="00D8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Страницы истории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Летопись края началась около десяти тысяч лет назад, когда здесь, в районе Валдая, закончилось таяние гигантского,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многосотметрового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ледника. Примерно в то время и появились на этой земле первые поселенцы. Они пришли сюда по Волге и Днепру с юга и по Западной Двине с запада, оказавшись здесь, лишь только растаял ледник. В это время и произошло интересное переплетение культур и нравов первых поселенцев, о происхождении которых свидетельствуют индоевропейские и финно-угорские корни, сохранившиеся в названии рек и озер.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Следы первых поселений эпохи мезолита были обнаружены археологами на берегах реки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Шлины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. Стоянки эпохи неолита и более поздних эпох встречаются и на берегах реки Граничной. Раскопки на озере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Тихмень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, около деревни Кузино, показали, что здесь человек появился позднее, в V-III тыс. до н.э.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Летописи деревень и сел этих мест тесно переплелись с историей средневековья Руси. В Фировском районе почти каждое название – целая страница истории.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На родине Преподобного чудотворца Нила </w:t>
      </w:r>
      <w:proofErr w:type="spellStart"/>
      <w:r w:rsidRPr="00D857C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Столобенского</w:t>
      </w:r>
      <w:proofErr w:type="spellEnd"/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Северо-восточнее озера Селигер, в 27 км</w:t>
      </w:r>
      <w:proofErr w:type="gram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т п. Фирово, находится одна из старейших деревень во всем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Верхневолжье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– Жабны. Как свидетельствуют современные археологические исследования, эта деревня (в прошлом село) появилась во второй половине XII, то есть Жабны всего на 30-40 лет моложе Москвы.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Первое, что вы услышите от местных жителей, оказавшись в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Жабнах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, - то, что вы находитесь на родине Преподобного чудотворца Нила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Столобенского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присоединения Новгорода к Москве экономика Новгородской земли бурно развивалась: появились новые деревни, села, возникали починки, росло количество дворов. Писцовая книга 1557 года упоминает в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Жабенском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погосте уже не одну, а две церкви Николая Чудотворца. Селение развивалось, богатело. Но этому помешали события эпохи Ивана Грозного. В XIX столетие стало для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Жабен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порой нового расцвета. Здесь действовало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одноклассное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училище, работало волостное управление, а также маслобойный завод, кузница, мастерские, вел прием фельдшерский пункт. Три раза в год народ из окрестных деревень, сел и ближайших городов спешил в Жабны на ярмарки, самая крупная из которых проводилась 8 октября. В конце XIX – начале XX веков в селе насчитывалось около 90 дворов, население насчитывалось около 500 человек.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с. Рождество</w:t>
      </w: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857C0" w:rsidRPr="00D857C0" w:rsidRDefault="00D857C0" w:rsidP="00D857C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Тысячу лет назад на берегах реки Граничной, около места ее впадения в 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Шлину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, возникло поселение рыбаков, которое стали называть </w:t>
      </w:r>
      <w:proofErr w:type="gram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Холуи</w:t>
      </w:r>
      <w:proofErr w:type="gram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(холуй – старославянское рыбак). Существует легенда о том, что Екатерина II, осматривая земли между Петербургом и Москвой, по просьбе местных землевладельцев, посетила село. Проезжая по мосту через реку Граничную, любуясь живописными местами, она повелела остановиться у деревянной часовенки, что была устроена над источником. Здесь с участием императрицы был отслужен молебен. Красота этих мест и часовня с изображением Богородицы на фронтоне запомнилась государыне. С 1780 года на всех географических картах </w:t>
      </w:r>
      <w:proofErr w:type="gram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Холуи</w:t>
      </w:r>
      <w:proofErr w:type="gram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начали обозначаться как Рождество. </w:t>
      </w:r>
    </w:p>
    <w:p w:rsidR="00D857C0" w:rsidRPr="00D857C0" w:rsidRDefault="006D5C60" w:rsidP="00D857C0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43200" cy="1804670"/>
            <wp:effectExtent l="0" t="0" r="0" b="0"/>
            <wp:docPr id="3" name="Рисунок 2" descr="Описание: Рождество Источ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Рождество Источни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C0" w:rsidRPr="00D857C0" w:rsidRDefault="00D857C0" w:rsidP="00D857C0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noProof/>
          <w:sz w:val="24"/>
          <w:szCs w:val="24"/>
          <w:u w:val="single"/>
          <w:lang w:eastAsia="ru-RU"/>
        </w:rPr>
      </w:pPr>
    </w:p>
    <w:p w:rsidR="00D857C0" w:rsidRPr="00D857C0" w:rsidRDefault="00D857C0" w:rsidP="00D857C0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noProof/>
          <w:sz w:val="24"/>
          <w:szCs w:val="24"/>
          <w:u w:val="single"/>
          <w:lang w:eastAsia="ru-RU"/>
        </w:rPr>
      </w:pPr>
    </w:p>
    <w:p w:rsidR="00D25B59" w:rsidRDefault="00D25B59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D857C0" w:rsidRDefault="00D857C0"/>
    <w:p w:rsidR="00083D97" w:rsidRDefault="00083D97"/>
    <w:p w:rsidR="00E21E1D" w:rsidRDefault="00E21E1D" w:rsidP="00D857C0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1E1D" w:rsidRDefault="00E21E1D" w:rsidP="00D857C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857C0" w:rsidRPr="00D857C0" w:rsidRDefault="00D857C0" w:rsidP="00D857C0">
      <w:pPr>
        <w:jc w:val="center"/>
        <w:rPr>
          <w:rFonts w:ascii="Times New Roman" w:hAnsi="Times New Roman"/>
          <w:b/>
          <w:sz w:val="24"/>
          <w:szCs w:val="24"/>
        </w:rPr>
      </w:pPr>
      <w:r w:rsidRPr="00D857C0">
        <w:rPr>
          <w:rFonts w:ascii="Times New Roman" w:hAnsi="Times New Roman"/>
          <w:b/>
          <w:sz w:val="24"/>
          <w:szCs w:val="24"/>
        </w:rPr>
        <w:lastRenderedPageBreak/>
        <w:t>ДЕМОГРАФИЯ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57C0">
        <w:rPr>
          <w:rFonts w:ascii="Times New Roman" w:hAnsi="Times New Roman"/>
          <w:sz w:val="24"/>
          <w:szCs w:val="24"/>
        </w:rPr>
        <w:t>Численность постоянного населения Фировского района по состоянию на 01.01.201</w:t>
      </w:r>
      <w:r w:rsidR="00533940">
        <w:rPr>
          <w:rFonts w:ascii="Times New Roman" w:hAnsi="Times New Roman"/>
          <w:sz w:val="24"/>
          <w:szCs w:val="24"/>
        </w:rPr>
        <w:t>9</w:t>
      </w:r>
      <w:r w:rsidRPr="00D857C0">
        <w:rPr>
          <w:rFonts w:ascii="Times New Roman" w:hAnsi="Times New Roman"/>
          <w:sz w:val="24"/>
          <w:szCs w:val="24"/>
        </w:rPr>
        <w:t xml:space="preserve"> составила 7</w:t>
      </w:r>
      <w:r w:rsidR="00C1243C">
        <w:rPr>
          <w:rFonts w:ascii="Times New Roman" w:hAnsi="Times New Roman"/>
          <w:sz w:val="24"/>
          <w:szCs w:val="24"/>
        </w:rPr>
        <w:t>662</w:t>
      </w:r>
      <w:r w:rsidRPr="00D857C0">
        <w:rPr>
          <w:rFonts w:ascii="Times New Roman" w:hAnsi="Times New Roman"/>
          <w:sz w:val="24"/>
          <w:szCs w:val="24"/>
        </w:rPr>
        <w:t xml:space="preserve"> человек или 97,</w:t>
      </w:r>
      <w:r w:rsidR="00C1243C">
        <w:rPr>
          <w:rFonts w:ascii="Times New Roman" w:hAnsi="Times New Roman"/>
          <w:sz w:val="24"/>
          <w:szCs w:val="24"/>
        </w:rPr>
        <w:t>2</w:t>
      </w:r>
      <w:r w:rsidRPr="00D857C0">
        <w:rPr>
          <w:rFonts w:ascii="Times New Roman" w:hAnsi="Times New Roman"/>
          <w:sz w:val="24"/>
          <w:szCs w:val="24"/>
        </w:rPr>
        <w:t>% к соответствующему показателю на 01.01.201</w:t>
      </w:r>
      <w:r w:rsidR="00C1243C">
        <w:rPr>
          <w:rFonts w:ascii="Times New Roman" w:hAnsi="Times New Roman"/>
          <w:sz w:val="24"/>
          <w:szCs w:val="24"/>
        </w:rPr>
        <w:t>8</w:t>
      </w:r>
      <w:r w:rsidRPr="00D857C0">
        <w:rPr>
          <w:rFonts w:ascii="Times New Roman" w:hAnsi="Times New Roman"/>
          <w:sz w:val="24"/>
          <w:szCs w:val="24"/>
        </w:rPr>
        <w:t>, в том числе городское население – 3</w:t>
      </w:r>
      <w:r w:rsidR="00C1243C">
        <w:rPr>
          <w:rFonts w:ascii="Times New Roman" w:hAnsi="Times New Roman"/>
          <w:sz w:val="24"/>
          <w:szCs w:val="24"/>
        </w:rPr>
        <w:t>842</w:t>
      </w:r>
      <w:r w:rsidRPr="00D857C0">
        <w:rPr>
          <w:rFonts w:ascii="Times New Roman" w:hAnsi="Times New Roman"/>
          <w:sz w:val="24"/>
          <w:szCs w:val="24"/>
        </w:rPr>
        <w:t xml:space="preserve"> человек</w:t>
      </w:r>
      <w:r w:rsidR="00533940">
        <w:rPr>
          <w:rFonts w:ascii="Times New Roman" w:hAnsi="Times New Roman"/>
          <w:sz w:val="24"/>
          <w:szCs w:val="24"/>
        </w:rPr>
        <w:t>а</w:t>
      </w:r>
      <w:r w:rsidRPr="00D857C0">
        <w:rPr>
          <w:rFonts w:ascii="Times New Roman" w:hAnsi="Times New Roman"/>
          <w:sz w:val="24"/>
          <w:szCs w:val="24"/>
        </w:rPr>
        <w:t>, сельское – 3</w:t>
      </w:r>
      <w:r w:rsidR="00C1243C">
        <w:rPr>
          <w:rFonts w:ascii="Times New Roman" w:hAnsi="Times New Roman"/>
          <w:sz w:val="24"/>
          <w:szCs w:val="24"/>
        </w:rPr>
        <w:t>820</w:t>
      </w:r>
      <w:r w:rsidRPr="00D857C0">
        <w:rPr>
          <w:rFonts w:ascii="Times New Roman" w:hAnsi="Times New Roman"/>
          <w:sz w:val="24"/>
          <w:szCs w:val="24"/>
        </w:rPr>
        <w:t xml:space="preserve"> человек. По-прежнему сохраняется тенденция к сокращению населения, как за счет отрицательного миграционного сальдо, так и за счет показателя естественного движения населения.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57C0">
        <w:rPr>
          <w:rFonts w:ascii="Times New Roman" w:hAnsi="Times New Roman"/>
          <w:sz w:val="24"/>
          <w:szCs w:val="24"/>
        </w:rPr>
        <w:t>Рождаемость за 201</w:t>
      </w:r>
      <w:r w:rsidR="00C1243C">
        <w:rPr>
          <w:rFonts w:ascii="Times New Roman" w:hAnsi="Times New Roman"/>
          <w:sz w:val="24"/>
          <w:szCs w:val="24"/>
        </w:rPr>
        <w:t>8</w:t>
      </w:r>
      <w:r w:rsidRPr="00D857C0">
        <w:rPr>
          <w:rFonts w:ascii="Times New Roman" w:hAnsi="Times New Roman"/>
          <w:sz w:val="24"/>
          <w:szCs w:val="24"/>
        </w:rPr>
        <w:t xml:space="preserve"> год </w:t>
      </w:r>
      <w:r w:rsidR="00C1243C">
        <w:rPr>
          <w:rFonts w:ascii="Times New Roman" w:hAnsi="Times New Roman"/>
          <w:sz w:val="24"/>
          <w:szCs w:val="24"/>
        </w:rPr>
        <w:t xml:space="preserve">снизилась по сравнению с </w:t>
      </w:r>
      <w:r w:rsidR="00533940">
        <w:rPr>
          <w:rFonts w:ascii="Times New Roman" w:hAnsi="Times New Roman"/>
          <w:sz w:val="24"/>
          <w:szCs w:val="24"/>
        </w:rPr>
        <w:t>предыдущи</w:t>
      </w:r>
      <w:r w:rsidR="00C1243C">
        <w:rPr>
          <w:rFonts w:ascii="Times New Roman" w:hAnsi="Times New Roman"/>
          <w:sz w:val="24"/>
          <w:szCs w:val="24"/>
        </w:rPr>
        <w:t>м</w:t>
      </w:r>
      <w:r w:rsidRPr="00D857C0">
        <w:rPr>
          <w:rFonts w:ascii="Times New Roman" w:hAnsi="Times New Roman"/>
          <w:sz w:val="24"/>
          <w:szCs w:val="24"/>
        </w:rPr>
        <w:t xml:space="preserve"> год</w:t>
      </w:r>
      <w:r w:rsidR="00C1243C">
        <w:rPr>
          <w:rFonts w:ascii="Times New Roman" w:hAnsi="Times New Roman"/>
          <w:sz w:val="24"/>
          <w:szCs w:val="24"/>
        </w:rPr>
        <w:t>ом</w:t>
      </w:r>
      <w:r w:rsidRPr="00D857C0">
        <w:rPr>
          <w:rFonts w:ascii="Times New Roman" w:hAnsi="Times New Roman"/>
          <w:sz w:val="24"/>
          <w:szCs w:val="24"/>
        </w:rPr>
        <w:t xml:space="preserve"> – родилось </w:t>
      </w:r>
      <w:r w:rsidR="00C1243C">
        <w:rPr>
          <w:rFonts w:ascii="Times New Roman" w:hAnsi="Times New Roman"/>
          <w:sz w:val="24"/>
          <w:szCs w:val="24"/>
        </w:rPr>
        <w:t>60</w:t>
      </w:r>
      <w:r w:rsidRPr="00D857C0">
        <w:rPr>
          <w:rFonts w:ascii="Times New Roman" w:hAnsi="Times New Roman"/>
          <w:sz w:val="24"/>
          <w:szCs w:val="24"/>
        </w:rPr>
        <w:t xml:space="preserve"> младенц</w:t>
      </w:r>
      <w:r w:rsidR="00C1243C">
        <w:rPr>
          <w:rFonts w:ascii="Times New Roman" w:hAnsi="Times New Roman"/>
          <w:sz w:val="24"/>
          <w:szCs w:val="24"/>
        </w:rPr>
        <w:t>ев</w:t>
      </w:r>
      <w:r w:rsidR="00533940">
        <w:rPr>
          <w:rFonts w:ascii="Times New Roman" w:hAnsi="Times New Roman"/>
          <w:sz w:val="24"/>
          <w:szCs w:val="24"/>
        </w:rPr>
        <w:t>.</w:t>
      </w:r>
      <w:r w:rsidRPr="00D857C0">
        <w:rPr>
          <w:rFonts w:ascii="Times New Roman" w:hAnsi="Times New Roman"/>
          <w:sz w:val="24"/>
          <w:szCs w:val="24"/>
        </w:rPr>
        <w:t xml:space="preserve"> Количество смертей </w:t>
      </w:r>
      <w:r w:rsidR="00C1243C">
        <w:rPr>
          <w:rFonts w:ascii="Times New Roman" w:hAnsi="Times New Roman"/>
          <w:sz w:val="24"/>
          <w:szCs w:val="24"/>
        </w:rPr>
        <w:t xml:space="preserve">сохранилось на уровне </w:t>
      </w:r>
      <w:r w:rsidRPr="00D857C0">
        <w:rPr>
          <w:rFonts w:ascii="Times New Roman" w:hAnsi="Times New Roman"/>
          <w:sz w:val="24"/>
          <w:szCs w:val="24"/>
        </w:rPr>
        <w:t>201</w:t>
      </w:r>
      <w:r w:rsidR="00C1243C">
        <w:rPr>
          <w:rFonts w:ascii="Times New Roman" w:hAnsi="Times New Roman"/>
          <w:sz w:val="24"/>
          <w:szCs w:val="24"/>
        </w:rPr>
        <w:t>7</w:t>
      </w:r>
      <w:r w:rsidRPr="00D857C0">
        <w:rPr>
          <w:rFonts w:ascii="Times New Roman" w:hAnsi="Times New Roman"/>
          <w:sz w:val="24"/>
          <w:szCs w:val="24"/>
        </w:rPr>
        <w:t xml:space="preserve"> год</w:t>
      </w:r>
      <w:r w:rsidR="00C1243C">
        <w:rPr>
          <w:rFonts w:ascii="Times New Roman" w:hAnsi="Times New Roman"/>
          <w:sz w:val="24"/>
          <w:szCs w:val="24"/>
        </w:rPr>
        <w:t>а</w:t>
      </w:r>
      <w:r w:rsidRPr="00D857C0">
        <w:rPr>
          <w:rFonts w:ascii="Times New Roman" w:hAnsi="Times New Roman"/>
          <w:sz w:val="24"/>
          <w:szCs w:val="24"/>
        </w:rPr>
        <w:t>: в 201</w:t>
      </w:r>
      <w:r w:rsidR="00C1243C">
        <w:rPr>
          <w:rFonts w:ascii="Times New Roman" w:hAnsi="Times New Roman"/>
          <w:sz w:val="24"/>
          <w:szCs w:val="24"/>
        </w:rPr>
        <w:t>7</w:t>
      </w:r>
      <w:r w:rsidRPr="00D857C0">
        <w:rPr>
          <w:rFonts w:ascii="Times New Roman" w:hAnsi="Times New Roman"/>
          <w:sz w:val="24"/>
          <w:szCs w:val="24"/>
        </w:rPr>
        <w:t xml:space="preserve"> году смертность составила 1</w:t>
      </w:r>
      <w:r w:rsidR="00C1243C">
        <w:rPr>
          <w:rFonts w:ascii="Times New Roman" w:hAnsi="Times New Roman"/>
          <w:sz w:val="24"/>
          <w:szCs w:val="24"/>
        </w:rPr>
        <w:t>85</w:t>
      </w:r>
      <w:r w:rsidRPr="00D857C0">
        <w:rPr>
          <w:rFonts w:ascii="Times New Roman" w:hAnsi="Times New Roman"/>
          <w:sz w:val="24"/>
          <w:szCs w:val="24"/>
        </w:rPr>
        <w:t xml:space="preserve"> человек, в 201</w:t>
      </w:r>
      <w:r w:rsidR="00C1243C">
        <w:rPr>
          <w:rFonts w:ascii="Times New Roman" w:hAnsi="Times New Roman"/>
          <w:sz w:val="24"/>
          <w:szCs w:val="24"/>
        </w:rPr>
        <w:t>8</w:t>
      </w:r>
      <w:r w:rsidRPr="00D857C0">
        <w:rPr>
          <w:rFonts w:ascii="Times New Roman" w:hAnsi="Times New Roman"/>
          <w:sz w:val="24"/>
          <w:szCs w:val="24"/>
        </w:rPr>
        <w:t xml:space="preserve"> – 184 человека. Естественная убыль населения за 20</w:t>
      </w:r>
      <w:r w:rsidR="00C1243C">
        <w:rPr>
          <w:rFonts w:ascii="Times New Roman" w:hAnsi="Times New Roman"/>
          <w:sz w:val="24"/>
          <w:szCs w:val="24"/>
        </w:rPr>
        <w:t>8</w:t>
      </w:r>
      <w:r w:rsidRPr="00D857C0">
        <w:rPr>
          <w:rFonts w:ascii="Times New Roman" w:hAnsi="Times New Roman"/>
          <w:sz w:val="24"/>
          <w:szCs w:val="24"/>
        </w:rPr>
        <w:t xml:space="preserve"> год – </w:t>
      </w:r>
      <w:r w:rsidR="00C1243C">
        <w:rPr>
          <w:rFonts w:ascii="Times New Roman" w:hAnsi="Times New Roman"/>
          <w:sz w:val="24"/>
          <w:szCs w:val="24"/>
        </w:rPr>
        <w:t>124</w:t>
      </w:r>
      <w:r w:rsidRPr="00D857C0">
        <w:rPr>
          <w:rFonts w:ascii="Times New Roman" w:hAnsi="Times New Roman"/>
          <w:sz w:val="24"/>
          <w:szCs w:val="24"/>
        </w:rPr>
        <w:t xml:space="preserve"> человек</w:t>
      </w:r>
      <w:r w:rsidR="00C1243C">
        <w:rPr>
          <w:rFonts w:ascii="Times New Roman" w:hAnsi="Times New Roman"/>
          <w:sz w:val="24"/>
          <w:szCs w:val="24"/>
        </w:rPr>
        <w:t>а</w:t>
      </w:r>
      <w:r w:rsidRPr="00D857C0">
        <w:rPr>
          <w:rFonts w:ascii="Times New Roman" w:hAnsi="Times New Roman"/>
          <w:sz w:val="24"/>
          <w:szCs w:val="24"/>
        </w:rPr>
        <w:t xml:space="preserve">, смертность в </w:t>
      </w:r>
      <w:r w:rsidR="00C1243C">
        <w:rPr>
          <w:rFonts w:ascii="Times New Roman" w:hAnsi="Times New Roman"/>
          <w:sz w:val="24"/>
          <w:szCs w:val="24"/>
        </w:rPr>
        <w:t>3,1</w:t>
      </w:r>
      <w:r w:rsidRPr="00D857C0">
        <w:rPr>
          <w:rFonts w:ascii="Times New Roman" w:hAnsi="Times New Roman"/>
          <w:sz w:val="24"/>
          <w:szCs w:val="24"/>
        </w:rPr>
        <w:t xml:space="preserve"> раза превысила рождаемость. </w:t>
      </w:r>
    </w:p>
    <w:p w:rsidR="00D857C0" w:rsidRDefault="00D857C0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57C0">
        <w:rPr>
          <w:rFonts w:ascii="Times New Roman" w:hAnsi="Times New Roman"/>
          <w:sz w:val="24"/>
          <w:szCs w:val="24"/>
        </w:rPr>
        <w:t>Численность трудоспособного населения в Фировском районе на 01.01.201</w:t>
      </w:r>
      <w:r w:rsidR="00C1243C">
        <w:rPr>
          <w:rFonts w:ascii="Times New Roman" w:hAnsi="Times New Roman"/>
          <w:sz w:val="24"/>
          <w:szCs w:val="24"/>
        </w:rPr>
        <w:t>9</w:t>
      </w:r>
      <w:r w:rsidRPr="00D857C0">
        <w:rPr>
          <w:rFonts w:ascii="Times New Roman" w:hAnsi="Times New Roman"/>
          <w:sz w:val="24"/>
          <w:szCs w:val="24"/>
        </w:rPr>
        <w:t xml:space="preserve"> составила </w:t>
      </w:r>
      <w:r w:rsidR="005C3319">
        <w:rPr>
          <w:rFonts w:ascii="Times New Roman" w:hAnsi="Times New Roman"/>
          <w:sz w:val="24"/>
          <w:szCs w:val="24"/>
        </w:rPr>
        <w:t>3618</w:t>
      </w:r>
      <w:r w:rsidRPr="00D857C0">
        <w:rPr>
          <w:rFonts w:ascii="Times New Roman" w:hAnsi="Times New Roman"/>
          <w:sz w:val="24"/>
          <w:szCs w:val="24"/>
        </w:rPr>
        <w:t xml:space="preserve"> человека, или </w:t>
      </w:r>
      <w:r w:rsidR="005C3319">
        <w:rPr>
          <w:rFonts w:ascii="Times New Roman" w:hAnsi="Times New Roman"/>
          <w:sz w:val="24"/>
          <w:szCs w:val="24"/>
        </w:rPr>
        <w:t>47,2</w:t>
      </w:r>
      <w:r w:rsidRPr="00D857C0">
        <w:rPr>
          <w:rFonts w:ascii="Times New Roman" w:hAnsi="Times New Roman"/>
          <w:sz w:val="24"/>
          <w:szCs w:val="24"/>
        </w:rPr>
        <w:t>% от численности постоянного населения (в т.ч. мужчины – 2</w:t>
      </w:r>
      <w:r w:rsidR="005C3319">
        <w:rPr>
          <w:rFonts w:ascii="Times New Roman" w:hAnsi="Times New Roman"/>
          <w:sz w:val="24"/>
          <w:szCs w:val="24"/>
        </w:rPr>
        <w:t>030</w:t>
      </w:r>
      <w:r w:rsidRPr="00D857C0">
        <w:rPr>
          <w:rFonts w:ascii="Times New Roman" w:hAnsi="Times New Roman"/>
          <w:sz w:val="24"/>
          <w:szCs w:val="24"/>
        </w:rPr>
        <w:t xml:space="preserve"> человек, женщины – 1</w:t>
      </w:r>
      <w:r w:rsidR="00062F34">
        <w:rPr>
          <w:rFonts w:ascii="Times New Roman" w:hAnsi="Times New Roman"/>
          <w:sz w:val="24"/>
          <w:szCs w:val="24"/>
        </w:rPr>
        <w:t>588</w:t>
      </w:r>
      <w:r w:rsidRPr="00D857C0">
        <w:rPr>
          <w:rFonts w:ascii="Times New Roman" w:hAnsi="Times New Roman"/>
          <w:sz w:val="24"/>
          <w:szCs w:val="24"/>
        </w:rPr>
        <w:t xml:space="preserve"> человек). Распределение трудоспособного населения Фировского района наглядно представлено на рисунке.</w:t>
      </w:r>
    </w:p>
    <w:p w:rsidR="00083D97" w:rsidRPr="00D857C0" w:rsidRDefault="00083D97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57C0" w:rsidRDefault="006D5C60" w:rsidP="00D857C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335270" cy="3617595"/>
            <wp:effectExtent l="0" t="0" r="0" b="0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57C0">
        <w:rPr>
          <w:rFonts w:ascii="Times New Roman" w:hAnsi="Times New Roman"/>
          <w:sz w:val="24"/>
          <w:szCs w:val="24"/>
        </w:rPr>
        <w:t>За 9 месяцев 201</w:t>
      </w:r>
      <w:r w:rsidR="004847A4">
        <w:rPr>
          <w:rFonts w:ascii="Times New Roman" w:hAnsi="Times New Roman"/>
          <w:sz w:val="24"/>
          <w:szCs w:val="24"/>
        </w:rPr>
        <w:t>9</w:t>
      </w:r>
      <w:r w:rsidRPr="00D857C0">
        <w:rPr>
          <w:rFonts w:ascii="Times New Roman" w:hAnsi="Times New Roman"/>
          <w:sz w:val="24"/>
          <w:szCs w:val="24"/>
        </w:rPr>
        <w:t xml:space="preserve"> года родилось </w:t>
      </w:r>
      <w:r w:rsidR="004847A4">
        <w:rPr>
          <w:rFonts w:ascii="Times New Roman" w:hAnsi="Times New Roman"/>
          <w:sz w:val="24"/>
          <w:szCs w:val="24"/>
        </w:rPr>
        <w:t>26</w:t>
      </w:r>
      <w:r w:rsidRPr="00D857C0">
        <w:rPr>
          <w:rFonts w:ascii="Times New Roman" w:hAnsi="Times New Roman"/>
          <w:sz w:val="24"/>
          <w:szCs w:val="24"/>
        </w:rPr>
        <w:t xml:space="preserve"> младенца (за аналогичный период прошлого года – </w:t>
      </w:r>
      <w:r w:rsidR="004847A4">
        <w:rPr>
          <w:rFonts w:ascii="Times New Roman" w:hAnsi="Times New Roman"/>
          <w:sz w:val="24"/>
          <w:szCs w:val="24"/>
        </w:rPr>
        <w:t>33</w:t>
      </w:r>
      <w:r w:rsidRPr="00D857C0">
        <w:rPr>
          <w:rFonts w:ascii="Times New Roman" w:hAnsi="Times New Roman"/>
          <w:sz w:val="24"/>
          <w:szCs w:val="24"/>
        </w:rPr>
        <w:t xml:space="preserve">), количество смертей – </w:t>
      </w:r>
      <w:r w:rsidR="004847A4">
        <w:rPr>
          <w:rFonts w:ascii="Times New Roman" w:hAnsi="Times New Roman"/>
          <w:sz w:val="24"/>
          <w:szCs w:val="24"/>
        </w:rPr>
        <w:t>116</w:t>
      </w:r>
      <w:r w:rsidRPr="00D857C0">
        <w:rPr>
          <w:rFonts w:ascii="Times New Roman" w:hAnsi="Times New Roman"/>
          <w:sz w:val="24"/>
          <w:szCs w:val="24"/>
        </w:rPr>
        <w:t xml:space="preserve"> (за 9 месяцев 201</w:t>
      </w:r>
      <w:r w:rsidR="004847A4">
        <w:rPr>
          <w:rFonts w:ascii="Times New Roman" w:hAnsi="Times New Roman"/>
          <w:sz w:val="24"/>
          <w:szCs w:val="24"/>
        </w:rPr>
        <w:t>8</w:t>
      </w:r>
      <w:r w:rsidRPr="00D857C0">
        <w:rPr>
          <w:rFonts w:ascii="Times New Roman" w:hAnsi="Times New Roman"/>
          <w:sz w:val="24"/>
          <w:szCs w:val="24"/>
        </w:rPr>
        <w:t xml:space="preserve"> года – 12</w:t>
      </w:r>
      <w:r w:rsidR="004847A4">
        <w:rPr>
          <w:rFonts w:ascii="Times New Roman" w:hAnsi="Times New Roman"/>
          <w:sz w:val="24"/>
          <w:szCs w:val="24"/>
        </w:rPr>
        <w:t>5</w:t>
      </w:r>
      <w:r w:rsidRPr="00D857C0">
        <w:rPr>
          <w:rFonts w:ascii="Times New Roman" w:hAnsi="Times New Roman"/>
          <w:sz w:val="24"/>
          <w:szCs w:val="24"/>
        </w:rPr>
        <w:t>). Естественная убыль населения за рассматриваемый период составила 9</w:t>
      </w:r>
      <w:r w:rsidR="004847A4">
        <w:rPr>
          <w:rFonts w:ascii="Times New Roman" w:hAnsi="Times New Roman"/>
          <w:sz w:val="24"/>
          <w:szCs w:val="24"/>
        </w:rPr>
        <w:t>0</w:t>
      </w:r>
      <w:r w:rsidRPr="00D857C0">
        <w:rPr>
          <w:rFonts w:ascii="Times New Roman" w:hAnsi="Times New Roman"/>
          <w:sz w:val="24"/>
          <w:szCs w:val="24"/>
        </w:rPr>
        <w:t xml:space="preserve"> человек. Динамика рождаемости и смертности по Фировскому району за 9 месяцев соответствующего года наглядно представлена на рисунке.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57C0" w:rsidRDefault="006D5C60" w:rsidP="00083D9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701030" cy="3244215"/>
            <wp:effectExtent l="0" t="0" r="0" b="0"/>
            <wp:docPr id="5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83D97" w:rsidRPr="00083D97" w:rsidRDefault="00083D97" w:rsidP="00083D97">
      <w:pPr>
        <w:jc w:val="center"/>
        <w:rPr>
          <w:rFonts w:ascii="Times New Roman" w:hAnsi="Times New Roman"/>
          <w:sz w:val="26"/>
          <w:szCs w:val="26"/>
        </w:rPr>
      </w:pPr>
    </w:p>
    <w:p w:rsidR="00D857C0" w:rsidRPr="00D857C0" w:rsidRDefault="00D857C0" w:rsidP="00D857C0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D857C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ТРУД</w:t>
      </w:r>
    </w:p>
    <w:p w:rsidR="00D857C0" w:rsidRPr="00D857C0" w:rsidRDefault="00D857C0" w:rsidP="00D857C0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Численность трудоспособного населения в районе уменьшается в связи с отрицательным показателем естественного прироста населения и оттоком населения за пределы района.</w:t>
      </w:r>
      <w:r w:rsidRPr="00D857C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 xml:space="preserve">  </w:t>
      </w:r>
    </w:p>
    <w:p w:rsidR="00D857C0" w:rsidRPr="00D857C0" w:rsidRDefault="00D857C0" w:rsidP="00D857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8928" w:type="dxa"/>
        <w:jc w:val="center"/>
        <w:tblInd w:w="2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488"/>
        <w:gridCol w:w="1114"/>
        <w:gridCol w:w="1026"/>
        <w:gridCol w:w="1085"/>
        <w:gridCol w:w="2215"/>
      </w:tblGrid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 01.10</w:t>
            </w: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.2017 г.</w:t>
            </w:r>
          </w:p>
        </w:tc>
        <w:tc>
          <w:tcPr>
            <w:tcW w:w="1026" w:type="dxa"/>
            <w:vAlign w:val="center"/>
          </w:tcPr>
          <w:p w:rsidR="00AE0BC2" w:rsidRPr="00D857C0" w:rsidRDefault="00AE0BC2" w:rsidP="006F3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01.10</w:t>
            </w: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.2018 г.</w:t>
            </w:r>
          </w:p>
        </w:tc>
        <w:tc>
          <w:tcPr>
            <w:tcW w:w="1085" w:type="dxa"/>
            <w:vAlign w:val="center"/>
          </w:tcPr>
          <w:p w:rsidR="00AE0BC2" w:rsidRPr="00AE0BC2" w:rsidRDefault="00AE0BC2" w:rsidP="00AE0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0B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 01.10.2019 г.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AE0BC2" w:rsidRPr="00AE0BC2" w:rsidRDefault="00AE0BC2" w:rsidP="006F3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0B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 роста периода с начала 2019 г. к аналогичному периоду 2018 г.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Среднесписочная численность работников по крупным и средним предприятиям (человек)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026" w:type="dxa"/>
          </w:tcPr>
          <w:p w:rsidR="00AE0BC2" w:rsidRPr="00D857C0" w:rsidRDefault="00AE0BC2" w:rsidP="00AE0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Сельское лесное хозяйство, охота, рыболовство и рыбоводство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6" w:type="dxa"/>
          </w:tcPr>
          <w:p w:rsidR="00AE0BC2" w:rsidRPr="00AE0BC2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E0B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85" w:type="dxa"/>
          </w:tcPr>
          <w:p w:rsidR="00AE0BC2" w:rsidRPr="00AE0BC2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E0B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109,2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обеспечение электрической энергией, газом и паром; кондиционирование воздуха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73,2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торговля оптовая и розничная; ремонт автотранспортных средств и мотоциклов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111,1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транспортировка и хранение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деятельность гостиниц и предприятий общественного питания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5" w:type="dxa"/>
          </w:tcPr>
          <w:p w:rsidR="00AE0BC2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15" w:type="dxa"/>
            <w:shd w:val="clear" w:color="auto" w:fill="auto"/>
          </w:tcPr>
          <w:p w:rsidR="00AE0BC2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деятельность финансовая и страховая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деятельность по операциям с недвижимым имуществом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101,9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образование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деятельность в области здравоохранения и социальных услуг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AE0BC2" w:rsidRPr="00994409" w:rsidTr="00AE0BC2">
        <w:trPr>
          <w:trHeight w:val="675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AE0BC2" w:rsidRPr="00994409" w:rsidTr="00AE0BC2">
        <w:trPr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AE0BC2" w:rsidRPr="00D857C0" w:rsidRDefault="00AE0BC2" w:rsidP="00D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предоставление прочих видов услуг</w:t>
            </w:r>
          </w:p>
        </w:tc>
        <w:tc>
          <w:tcPr>
            <w:tcW w:w="1114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57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6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dxa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15" w:type="dxa"/>
            <w:shd w:val="clear" w:color="auto" w:fill="auto"/>
          </w:tcPr>
          <w:p w:rsidR="00AE0BC2" w:rsidRPr="00D857C0" w:rsidRDefault="00AE0BC2" w:rsidP="00D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84,7</w:t>
            </w:r>
          </w:p>
        </w:tc>
      </w:tr>
    </w:tbl>
    <w:p w:rsidR="00D857C0" w:rsidRPr="00D857C0" w:rsidRDefault="00D857C0" w:rsidP="00083D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 01.10.201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г. уровень  зар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егистрированной безработицы составил 3,3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%, состоит на учете в 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ГКУ Тверской области «Центр занятости населения Фировского района» 144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, (в п. Великооктябрьском уровен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ь регистрируемой безработицы по-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прежнему остается на высоком уровне – 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10,0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%, состоит на учете в центре занятости 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52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). Предприятиями 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 xml:space="preserve">и организациями 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заявлено 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ваканси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рабочим профессиям 1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ед.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снижения напряженности на рынке труда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реализуется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муниципальная программа муниципального образования  Фировский район Тверской области «Развитие инвестиционного потенциала, предпринимательства и агропромышленного комплекса» на 201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B36F1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подпрограмма</w:t>
      </w:r>
      <w:r w:rsidR="00B36F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6 «Содействие временной занятости безработных и ищущих работу граждан муниципального образования «Фировский район»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857C0" w:rsidRPr="00D857C0" w:rsidRDefault="00D857C0" w:rsidP="00D857C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ДЕ</w:t>
      </w:r>
      <w:r w:rsidRPr="00D857C0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НЕЖНЫЕ ДОХОДЫ НАСЕЛЕНИЯ</w:t>
      </w:r>
    </w:p>
    <w:p w:rsidR="00D857C0" w:rsidRPr="00D857C0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>На предприятиях и в учреждениях района отсутствует просроченная задолженность по вы</w:t>
      </w:r>
      <w:r w:rsid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плате заработной платы. На 01.10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>.201</w:t>
      </w:r>
      <w:r w:rsidR="00B36F1B">
        <w:rPr>
          <w:rFonts w:ascii="Times New Roman" w:eastAsia="Times New Roman" w:hAnsi="Times New Roman"/>
          <w:noProof/>
          <w:sz w:val="24"/>
          <w:szCs w:val="24"/>
          <w:lang w:eastAsia="ru-RU"/>
        </w:rPr>
        <w:t>9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 среднемесячная заработная плата работников по крупным и средним организациям составила </w:t>
      </w:r>
      <w:r w:rsid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25028,4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 или </w:t>
      </w:r>
      <w:r w:rsid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113,0%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к соответствующему периоду 201</w:t>
      </w:r>
      <w:r w:rsid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8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года.</w:t>
      </w:r>
    </w:p>
    <w:p w:rsidR="00D857C0" w:rsidRPr="00D857C0" w:rsidRDefault="00D857C0" w:rsidP="00D857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D857C0" w:rsidRPr="00D857C0" w:rsidRDefault="00D857C0" w:rsidP="00D85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Средняя заработная плата по крупным и средним организациям (руб.)</w:t>
      </w:r>
    </w:p>
    <w:p w:rsidR="00D857C0" w:rsidRPr="00D857C0" w:rsidRDefault="006D5C60" w:rsidP="00D857C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13630" cy="2075180"/>
            <wp:effectExtent l="0" t="0" r="127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857C0" w:rsidRPr="00D857C0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>Среднемесячная заработная плата по видам деятельности:</w:t>
      </w:r>
    </w:p>
    <w:p w:rsidR="00D857C0" w:rsidRPr="00AE0BC2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сельское, лесное хозяйство, охота, рыболовство и рыбоводство- 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28946,7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 (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95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% к соответствующему периоду 201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8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года)</w:t>
      </w:r>
    </w:p>
    <w:p w:rsidR="00D857C0" w:rsidRPr="00AE0BC2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обеспечение электрической энергией, газом и паром; кондиционирование воздуха – 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25270,9  руб. (101,2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D857C0" w:rsidRPr="00AE0BC2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-водоснабжение; водоотведение, организация сбора и утилизации отходов, деятельность по ликвидации загрязнений 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15171,0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 (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92,7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%)</w:t>
      </w:r>
    </w:p>
    <w:p w:rsidR="00D857C0" w:rsidRPr="00AE0BC2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торговля оптовая и розничная; ремонт автотранспортных средств и мотоциклов – 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27382,4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 (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116,3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D857C0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транспортировка и хранение – 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21255,6 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руб. (</w:t>
      </w:r>
      <w:r w:rsidR="00AE0BC2"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87,2</w:t>
      </w:r>
      <w:r w:rsidRPr="00AE0BC2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952FE5" w:rsidRPr="00AE0BC2" w:rsidRDefault="00952FE5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-деятельность гостиниц и предприятий общественного питания – 35405,0 руб. (119,7%); </w:t>
      </w:r>
    </w:p>
    <w:p w:rsidR="00D857C0" w:rsidRPr="00952FE5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деятельность финансовая и страховая –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28494,6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 (1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0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5,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8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D857C0" w:rsidRPr="00952FE5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деятельность по операциям с недвижимым имуществом –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17170,10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 (1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20,1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D857C0" w:rsidRPr="00952FE5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государственное управление и обеспечение военной безопасности; социальное обеспечение –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28154,3 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руб. (10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5,1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D857C0" w:rsidRPr="00952FE5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образование –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22999,30 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руб. (1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31,2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D857C0" w:rsidRPr="00952FE5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деятельность в области здравоохранения и социальных услуг –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22741,9 руб. (106,4 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D857C0" w:rsidRPr="00952FE5" w:rsidRDefault="00D857C0" w:rsidP="00083D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деятельность в области культуры, спорта, организации досуга и развлечений –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24875,1 руб.(115,5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%)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;</w:t>
      </w:r>
    </w:p>
    <w:p w:rsidR="00D857C0" w:rsidRPr="00952FE5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предоставление прочих видов услуг –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16582,6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 (11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6,4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%).</w:t>
      </w:r>
    </w:p>
    <w:p w:rsidR="00D857C0" w:rsidRPr="00D857C0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Фонд оплаты труда за январь-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сентябрь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201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9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 по крупным и средним организациям Фировского района составил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194688,8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тыс.руб. или 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109,4 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% к соответствующему периоду 201</w:t>
      </w:r>
      <w:r w:rsidR="00952FE5"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>8</w:t>
      </w:r>
      <w:r w:rsidRPr="00952FE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года. </w:t>
      </w:r>
    </w:p>
    <w:p w:rsidR="00D857C0" w:rsidRPr="00D857C0" w:rsidRDefault="00D857C0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Число пенсионеров в Фировском районе по состоянию на 01.11.201</w:t>
      </w:r>
      <w:r w:rsidR="00B36F1B">
        <w:rPr>
          <w:rFonts w:ascii="Times New Roman" w:eastAsia="Times New Roman" w:hAnsi="Times New Roman"/>
          <w:noProof/>
          <w:sz w:val="24"/>
          <w:szCs w:val="24"/>
          <w:lang w:eastAsia="ru-RU"/>
        </w:rPr>
        <w:t>9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г. </w:t>
      </w:r>
      <w:r w:rsidR="007F5D8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составило 2949 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>человек</w:t>
      </w:r>
      <w:r w:rsidR="007F5D8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(98,6% к аналогичному периоду 2018 года (2991 чел.))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, средний размер пенсии по Фировскому району составляет </w:t>
      </w:r>
      <w:r w:rsidR="00FA3BE9">
        <w:rPr>
          <w:rFonts w:ascii="Times New Roman" w:eastAsia="Times New Roman" w:hAnsi="Times New Roman"/>
          <w:noProof/>
          <w:sz w:val="24"/>
          <w:szCs w:val="24"/>
          <w:lang w:eastAsia="ru-RU"/>
        </w:rPr>
        <w:t>12819,94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руб.</w:t>
      </w:r>
      <w:r w:rsidR="007F5D8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(106,5% </w:t>
      </w:r>
      <w:r w:rsidR="007F5D89" w:rsidRPr="007F5D89">
        <w:rPr>
          <w:rFonts w:ascii="Times New Roman" w:eastAsia="Times New Roman" w:hAnsi="Times New Roman"/>
          <w:noProof/>
          <w:sz w:val="24"/>
          <w:szCs w:val="24"/>
          <w:lang w:eastAsia="ru-RU"/>
        </w:rPr>
        <w:t>к аналогичному периоду 2018 года</w:t>
      </w:r>
      <w:r w:rsidR="00FA3BE9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(2041,91 руб.)).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>В целях проведения комплекса мероприятий, направленных на легализацию заработной платы и обеспечения роста налога на доходы физических лиц и страховых взносов, начисленных на заработную плату работников, Администрация Фировского района ежеквартально проводит заседания комиссии по вопросам легализации заработной платы и обеспечению поступления доходов в бюджет. За 9 месяцев 201</w:t>
      </w:r>
      <w:r w:rsidR="00B36F1B">
        <w:rPr>
          <w:rFonts w:ascii="Times New Roman" w:eastAsia="Times New Roman" w:hAnsi="Times New Roman"/>
          <w:noProof/>
          <w:sz w:val="24"/>
          <w:szCs w:val="24"/>
          <w:lang w:eastAsia="ru-RU"/>
        </w:rPr>
        <w:t>9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  проведено </w:t>
      </w:r>
      <w:r w:rsidR="00B36F1B">
        <w:rPr>
          <w:rFonts w:ascii="Times New Roman" w:eastAsia="Times New Roman" w:hAnsi="Times New Roman"/>
          <w:noProof/>
          <w:sz w:val="24"/>
          <w:szCs w:val="24"/>
          <w:lang w:eastAsia="ru-RU"/>
        </w:rPr>
        <w:t>четыре</w:t>
      </w:r>
      <w:r w:rsidRPr="00D857C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расширенных заседания комиссий по укреплению налоговой и бюджетной дисциплины, по легализации заработной платы с участием представителей межведомственной комиссии по вопросам легализации заработной платы и обеспечению поступления доходов в бюджет муниципального образования.</w:t>
      </w:r>
    </w:p>
    <w:p w:rsidR="00D857C0" w:rsidRPr="00D857C0" w:rsidRDefault="00D857C0" w:rsidP="00D857C0">
      <w:pPr>
        <w:keepNext/>
        <w:suppressAutoHyphen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bookmarkStart w:id="46" w:name="_Toc175455932"/>
      <w:bookmarkStart w:id="47" w:name="_Toc175455983"/>
      <w:bookmarkStart w:id="48" w:name="_Toc175456246"/>
      <w:bookmarkStart w:id="49" w:name="_Toc175473567"/>
      <w:bookmarkStart w:id="50" w:name="_Toc175550080"/>
      <w:bookmarkStart w:id="51" w:name="_Toc176003690"/>
      <w:bookmarkStart w:id="52" w:name="_Toc176003741"/>
      <w:bookmarkStart w:id="53" w:name="_Toc176003820"/>
      <w:bookmarkStart w:id="54" w:name="_Toc176003907"/>
      <w:bookmarkStart w:id="55" w:name="_Toc176075387"/>
      <w:bookmarkStart w:id="56" w:name="_Toc205090282"/>
      <w:bookmarkStart w:id="57" w:name="_Toc205693790"/>
      <w:bookmarkStart w:id="58" w:name="_Toc205719929"/>
      <w:bookmarkStart w:id="59" w:name="_Toc205720023"/>
      <w:bookmarkStart w:id="60" w:name="_Toc205720167"/>
      <w:bookmarkStart w:id="61" w:name="_Toc205720796"/>
      <w:bookmarkStart w:id="62" w:name="_Toc205720834"/>
      <w:bookmarkStart w:id="63" w:name="_Toc235419400"/>
      <w:r w:rsidRPr="00D857C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ПРОМЫШЛЕННОСТЬ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В промышленном секторе на сегодняшний день осуществляют деятельность четыре промышленных предприятия (ООО «Баталинский ЛПК», ООО «Фировское ДРСУ», МУП «Фировское ЖКХ», МУП «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Велком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»). 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Леса на территории Фировского района выполняют защитные функции, кроме того, являются сырьевой базой для развития деревообрабатывающей промышленности.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Практическое значение лесов очень велико и многообразно. Лесная растительность – важнейший компонент природы. Она оказывает решающее влияние на водный режим рек, особенно малых, защищает почву от эрозии, влияет на газовый состав атмосферы, очищает воздух, дает кров и пищу многим диким животным. Следовательно, от состояния лесов во многом зависит общая экологическая обстановка. Лес дает человеку необходимую древесину, ценные пищевые и лекарственные растения, дичь, пушнину и прекрасные места отдыха, радующие целебным воздухом, тишиной и красотой.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Леса занимают почти 60% территории Тверской области и являются важнейшим стабилизирующим компонентом окружающей среды. 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940">
        <w:rPr>
          <w:rFonts w:ascii="Times New Roman" w:eastAsia="Times New Roman" w:hAnsi="Times New Roman"/>
          <w:sz w:val="24"/>
          <w:szCs w:val="24"/>
          <w:lang w:eastAsia="ru-RU"/>
        </w:rPr>
        <w:t xml:space="preserve">Фировский район - один из самых лесных районов Тверской области (лесистость района </w:t>
      </w:r>
      <w:r w:rsidR="00533940" w:rsidRPr="00533940">
        <w:rPr>
          <w:rFonts w:ascii="Times New Roman" w:eastAsia="Times New Roman" w:hAnsi="Times New Roman"/>
          <w:sz w:val="24"/>
          <w:szCs w:val="24"/>
          <w:lang w:eastAsia="ru-RU"/>
        </w:rPr>
        <w:t>73,1</w:t>
      </w:r>
      <w:r w:rsidRPr="00533940">
        <w:rPr>
          <w:rFonts w:ascii="Times New Roman" w:eastAsia="Times New Roman" w:hAnsi="Times New Roman"/>
          <w:sz w:val="24"/>
          <w:szCs w:val="24"/>
          <w:lang w:eastAsia="ru-RU"/>
        </w:rPr>
        <w:t xml:space="preserve"> %). Общая площадь лесного фонда составляет 134,641 тыс.</w:t>
      </w:r>
      <w:r w:rsidR="00533940" w:rsidRPr="005339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33940">
        <w:rPr>
          <w:rFonts w:ascii="Times New Roman" w:eastAsia="Times New Roman" w:hAnsi="Times New Roman"/>
          <w:sz w:val="24"/>
          <w:szCs w:val="24"/>
          <w:lang w:eastAsia="ru-RU"/>
        </w:rPr>
        <w:t xml:space="preserve">га. Расчетная лесосека по Фировскому лесничеству составляет </w:t>
      </w:r>
      <w:r w:rsidR="00533940" w:rsidRPr="00533940">
        <w:rPr>
          <w:rFonts w:ascii="Times New Roman" w:eastAsia="Times New Roman" w:hAnsi="Times New Roman"/>
          <w:sz w:val="24"/>
          <w:szCs w:val="24"/>
          <w:lang w:eastAsia="ru-RU"/>
        </w:rPr>
        <w:t xml:space="preserve">276,3 тыс.м³. </w:t>
      </w:r>
      <w:r w:rsidR="0053394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533940" w:rsidRPr="00533940">
        <w:rPr>
          <w:rFonts w:ascii="Times New Roman" w:eastAsia="Times New Roman" w:hAnsi="Times New Roman"/>
          <w:sz w:val="24"/>
          <w:szCs w:val="24"/>
          <w:lang w:eastAsia="ru-RU"/>
        </w:rPr>
        <w:t>аналогичный период 2018 года 3</w:t>
      </w:r>
      <w:r w:rsidRPr="00533940">
        <w:rPr>
          <w:rFonts w:ascii="Times New Roman" w:eastAsia="Times New Roman" w:hAnsi="Times New Roman"/>
          <w:sz w:val="24"/>
          <w:szCs w:val="24"/>
          <w:lang w:eastAsia="ru-RU"/>
        </w:rPr>
        <w:t>03,8 тыс.м³.</w:t>
      </w:r>
      <w:r w:rsidR="00533940" w:rsidRPr="00533940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Pr="00533940">
        <w:rPr>
          <w:rFonts w:ascii="Times New Roman" w:eastAsia="Times New Roman" w:hAnsi="Times New Roman"/>
          <w:sz w:val="24"/>
          <w:szCs w:val="24"/>
          <w:lang w:eastAsia="ru-RU"/>
        </w:rPr>
        <w:t xml:space="preserve"> в т.ч. хвои </w:t>
      </w:r>
      <w:r w:rsidR="00533940" w:rsidRPr="00533940">
        <w:rPr>
          <w:rFonts w:ascii="Times New Roman" w:eastAsia="Times New Roman" w:hAnsi="Times New Roman"/>
          <w:sz w:val="24"/>
          <w:szCs w:val="24"/>
          <w:lang w:eastAsia="ru-RU"/>
        </w:rPr>
        <w:t xml:space="preserve">68,6 тыс.м³.(2018 год </w:t>
      </w:r>
      <w:r w:rsidRPr="00533940">
        <w:rPr>
          <w:rFonts w:ascii="Times New Roman" w:eastAsia="Times New Roman" w:hAnsi="Times New Roman"/>
          <w:sz w:val="24"/>
          <w:szCs w:val="24"/>
          <w:lang w:eastAsia="ru-RU"/>
        </w:rPr>
        <w:t>95,7 тыс. м³.</w:t>
      </w:r>
      <w:r w:rsidR="00533940" w:rsidRPr="0053394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Государственные полномочия в области лесных отношений  - в сфере использования, охраны, защиты и воспроизводства лесов на территории Фировского района, осуществляет ГКУ «Фировское лесничество Тверской области».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На территории Фировского района работают четыре лесозаготовителя арендатора: ООО «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Торжокская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лесохозяйственная компания», ООО «Баталинский ЛПК», ООО «Никос», ООО «</w:t>
      </w:r>
      <w:proofErr w:type="spellStart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Стод</w:t>
      </w:r>
      <w:proofErr w:type="spellEnd"/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». Передача в аренду участков лесного фонда позволяет более рационально вести лесовосстановительные мероприятия, проводить посадку лесных культур, осуществлять строительство лесных дорог, увеличивать объемы заготовки древесины и ее переработку.</w:t>
      </w:r>
    </w:p>
    <w:p w:rsid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Заготовка древесины - одна из основных отраслей промышленности Фировского района. Общий объем древесины возможный к заготовке – 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276,3 </w:t>
      </w:r>
      <w:r w:rsidR="00BB5EA9" w:rsidRP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тыс.м³. 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(2018 год 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>302,3 тыс.м</w:t>
      </w:r>
      <w:r w:rsidRPr="006D5C60">
        <w:rPr>
          <w:rFonts w:eastAsia="Times New Roman" w:cs="Calibri"/>
          <w:sz w:val="24"/>
          <w:szCs w:val="24"/>
          <w:lang w:eastAsia="ru-RU"/>
        </w:rPr>
        <w:t>³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 За 9 мес. 201</w:t>
      </w:r>
      <w:r w:rsidR="006D5C6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заготовка леса составила по району </w:t>
      </w:r>
      <w:r w:rsid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195,517 </w:t>
      </w:r>
      <w:r w:rsidR="006D5C60" w:rsidRPr="006D5C60">
        <w:rPr>
          <w:rFonts w:ascii="Times New Roman" w:eastAsia="Times New Roman" w:hAnsi="Times New Roman"/>
          <w:sz w:val="24"/>
          <w:szCs w:val="24"/>
          <w:lang w:eastAsia="ru-RU"/>
        </w:rPr>
        <w:t>тыс.м³.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на </w:t>
      </w:r>
      <w:r w:rsid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17,8 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>% больше соответствующего периода прошлого года (за 9 мес. 201</w:t>
      </w:r>
      <w:r w:rsidR="006D5C6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 г. – </w:t>
      </w:r>
      <w:r w:rsidR="006D5C60">
        <w:rPr>
          <w:rFonts w:ascii="Times New Roman" w:eastAsia="Times New Roman" w:hAnsi="Times New Roman"/>
          <w:sz w:val="24"/>
          <w:szCs w:val="24"/>
          <w:lang w:eastAsia="ru-RU"/>
        </w:rPr>
        <w:t>166,7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</w:t>
      </w:r>
      <w:r w:rsid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>м³</w:t>
      </w:r>
      <w:r w:rsidR="006D5C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D5C60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6D5C60" w:rsidRPr="006D5C60" w:rsidRDefault="006D5C6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70497" cy="1598212"/>
            <wp:effectExtent l="0" t="0" r="16510" b="2159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75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Арендаторы лесного фонда в соответствии с проектами освоения лесов за 9 месяцев 201</w:t>
      </w:r>
      <w:r w:rsidR="007A75DC" w:rsidRPr="007A75DC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Pr="007A75DC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восстановили лесные культуры на площади </w:t>
      </w:r>
      <w:r w:rsidR="00F01DD5">
        <w:rPr>
          <w:rFonts w:ascii="Times New Roman" w:eastAsia="Times New Roman" w:hAnsi="Times New Roman"/>
          <w:sz w:val="24"/>
          <w:szCs w:val="24"/>
          <w:lang w:eastAsia="ru-RU"/>
        </w:rPr>
        <w:t>541,75 га (</w:t>
      </w:r>
      <w:r w:rsidR="007A75DC" w:rsidRPr="007A75DC">
        <w:rPr>
          <w:rFonts w:ascii="Times New Roman" w:eastAsia="Times New Roman" w:hAnsi="Times New Roman"/>
          <w:sz w:val="24"/>
          <w:szCs w:val="24"/>
          <w:lang w:eastAsia="ru-RU"/>
        </w:rPr>
        <w:t>за 9 мес. 2018 года-</w:t>
      </w:r>
      <w:r w:rsidRPr="007A75DC">
        <w:rPr>
          <w:rFonts w:ascii="Times New Roman" w:eastAsia="Times New Roman" w:hAnsi="Times New Roman"/>
          <w:sz w:val="24"/>
          <w:szCs w:val="24"/>
          <w:lang w:eastAsia="ru-RU"/>
        </w:rPr>
        <w:t>425,65 га.</w:t>
      </w:r>
      <w:r w:rsidR="007A75DC" w:rsidRPr="007A75DC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857C0" w:rsidRPr="00F01DD5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>По договорам аренды лесного фонда за 9 месяцев 201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бюджеты всех уровней поступило арендной платы 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28017,247 тыс. руб. (за 9 мес. 2018 года-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>32143,5 тыс. руб.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(ожидаемое поступление на 01.01.2019 г. 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32855,699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руб.)</w:t>
      </w:r>
    </w:p>
    <w:p w:rsid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>Заключаются договор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купли-продажи древесины для населения, за 9 месяцев 201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объем древесины по данным договорам составил 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2,218 тыс. м³ в т. ч. хвои 1,152 тыс. м³ (что в 2 раза меньше соответствующего периода прошлого года за 9 мес. 2018 года-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>4,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023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м</w:t>
      </w:r>
      <w:r w:rsidRPr="00F01DD5">
        <w:rPr>
          <w:rFonts w:eastAsia="Times New Roman" w:cs="Calibri"/>
          <w:sz w:val="24"/>
          <w:szCs w:val="24"/>
          <w:lang w:eastAsia="ru-RU"/>
        </w:rPr>
        <w:t>³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>в т. ч. хвои – 1,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781</w:t>
      </w:r>
      <w:r w:rsidRPr="00F01DD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м</w:t>
      </w:r>
      <w:r w:rsidRPr="00F01DD5">
        <w:rPr>
          <w:rFonts w:eastAsia="Times New Roman" w:cs="Calibri"/>
          <w:sz w:val="24"/>
          <w:szCs w:val="24"/>
          <w:lang w:eastAsia="ru-RU"/>
        </w:rPr>
        <w:t>³</w:t>
      </w:r>
      <w:r w:rsidR="00F01DD5" w:rsidRPr="00F01DD5">
        <w:rPr>
          <w:rFonts w:ascii="Times New Roman" w:eastAsia="Times New Roman" w:hAnsi="Times New Roman"/>
          <w:sz w:val="24"/>
          <w:szCs w:val="24"/>
          <w:lang w:eastAsia="ru-RU"/>
        </w:rPr>
        <w:t>.).</w:t>
      </w:r>
      <w:proofErr w:type="gramEnd"/>
    </w:p>
    <w:p w:rsidR="00BB5EA9" w:rsidRPr="00D857C0" w:rsidRDefault="00BB5EA9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лесонарушений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9 мес. 2019 года составило 7 ед., за 9 мес. 2018 года 1 ед.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Ведется конкурсное производство в отношении Муниципального унитарного предприятия «Великооктябрьское ЖКХ»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>, процедура продлена до 10.12.2019</w:t>
      </w: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Определением Арбитражного суда Тверской области от </w:t>
      </w:r>
      <w:r w:rsidR="00595557">
        <w:rPr>
          <w:rFonts w:ascii="Times New Roman" w:eastAsia="Times New Roman" w:hAnsi="Times New Roman"/>
          <w:sz w:val="24"/>
          <w:szCs w:val="24"/>
          <w:lang w:eastAsia="ru-RU"/>
        </w:rPr>
        <w:t>08.11.2019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5557">
        <w:rPr>
          <w:rFonts w:ascii="Times New Roman" w:eastAsia="Times New Roman" w:hAnsi="Times New Roman"/>
          <w:sz w:val="24"/>
          <w:szCs w:val="24"/>
          <w:lang w:eastAsia="ru-RU"/>
        </w:rPr>
        <w:t>в отношении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 МУП «Великооктябрьский коммунальщик»</w:t>
      </w:r>
      <w:r w:rsidR="005955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5557" w:rsidRPr="00595557">
        <w:rPr>
          <w:rFonts w:ascii="Times New Roman" w:eastAsia="Times New Roman" w:hAnsi="Times New Roman"/>
          <w:sz w:val="24"/>
          <w:szCs w:val="24"/>
          <w:lang w:eastAsia="ru-RU"/>
        </w:rPr>
        <w:t>введена процедура наблюдения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B5EA9" w:rsidRPr="00BB5EA9">
        <w:rPr>
          <w:rFonts w:ascii="Times New Roman" w:eastAsia="Times New Roman" w:hAnsi="Times New Roman"/>
          <w:sz w:val="24"/>
          <w:szCs w:val="24"/>
          <w:lang w:eastAsia="ru-RU"/>
        </w:rPr>
        <w:t>Определением Арбитражного суда Тверской области</w:t>
      </w:r>
      <w:r w:rsidR="00BB5EA9">
        <w:rPr>
          <w:rFonts w:ascii="Times New Roman" w:eastAsia="Times New Roman" w:hAnsi="Times New Roman"/>
          <w:sz w:val="24"/>
          <w:szCs w:val="24"/>
          <w:lang w:eastAsia="ru-RU"/>
        </w:rPr>
        <w:t xml:space="preserve"> от 17.10.2019 в отношении МУП «Фировское ЖКХ» введена процедура наблюдения.</w:t>
      </w:r>
    </w:p>
    <w:p w:rsidR="00D857C0" w:rsidRPr="00D857C0" w:rsidRDefault="00D857C0" w:rsidP="0008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7C0">
        <w:rPr>
          <w:rFonts w:ascii="Times New Roman" w:eastAsia="Times New Roman" w:hAnsi="Times New Roman"/>
          <w:sz w:val="24"/>
          <w:szCs w:val="24"/>
          <w:lang w:eastAsia="ru-RU"/>
        </w:rPr>
        <w:t>Дальнейший экономический рост Фировского района напрямую зависит от возможностей привлечения инвестиций в эффективные проекты реального сектора экономики.</w:t>
      </w:r>
    </w:p>
    <w:p w:rsidR="00395A7E" w:rsidRPr="00395A7E" w:rsidRDefault="00395A7E" w:rsidP="00395A7E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  <w:u w:val="single"/>
          <w:lang w:eastAsia="ru-RU"/>
        </w:rPr>
      </w:pPr>
      <w:r w:rsidRPr="00395A7E">
        <w:rPr>
          <w:rFonts w:ascii="Times New Roman" w:eastAsia="Times New Roman" w:hAnsi="Times New Roman"/>
          <w:b/>
          <w:noProof/>
          <w:sz w:val="24"/>
          <w:szCs w:val="24"/>
          <w:u w:val="single"/>
          <w:lang w:eastAsia="ru-RU"/>
        </w:rPr>
        <w:t>ИНВЕСТИЦИИ</w:t>
      </w:r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Привлечение инвестиций в экономику района является одной из наиболее важных задач, стоящих перед администрацией Фировского района, решение которой возможно путем формирования целенаправленной и комплексной инвестиционной политики.</w:t>
      </w:r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В этих целях: сформирован и доступен для инвесторов реестр свободных земельных участков, расположенных в населенных пунктах: п.Великооктябрьский и п.Фирово, которые могут служить основой для организации различных видов деятельности, начиная от промышленного производства, сельского хозяйства, туризма и заканчивая жилищным строительством. Это позволит  создать в районе дополнительные  рабочие места, что в свою очередь приведет к увеличению налоговых поступлений в местный бюджет.</w:t>
      </w:r>
    </w:p>
    <w:p w:rsidR="00395A7E" w:rsidRPr="00395A7E" w:rsidRDefault="00B55F8A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За 9 мес. </w:t>
      </w:r>
      <w:r w:rsidR="00395A7E"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201</w:t>
      </w:r>
      <w:r w:rsidR="001E5C9A">
        <w:rPr>
          <w:rFonts w:ascii="Times New Roman" w:eastAsia="Times New Roman" w:hAnsi="Times New Roman"/>
          <w:noProof/>
          <w:sz w:val="24"/>
          <w:szCs w:val="24"/>
          <w:lang w:eastAsia="ru-RU"/>
        </w:rPr>
        <w:t>9</w:t>
      </w:r>
      <w:r w:rsidR="00395A7E"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 инвестиции в основной капитал по крупным и средним предприятиям и организациям составили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11594</w:t>
      </w:r>
      <w:r w:rsidR="00395A7E"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 руб.</w:t>
      </w:r>
      <w:r w:rsidR="001E5C9A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18,4</w:t>
      </w:r>
      <w:r w:rsidR="001E5C9A">
        <w:rPr>
          <w:rFonts w:ascii="Times New Roman" w:eastAsia="Times New Roman" w:hAnsi="Times New Roman"/>
          <w:noProof/>
          <w:sz w:val="24"/>
          <w:szCs w:val="24"/>
          <w:lang w:eastAsia="ru-RU"/>
        </w:rPr>
        <w:t>% к аналогичному периоду 2018 года (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63127</w:t>
      </w:r>
      <w:r w:rsidR="001E5C9A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 руб.))</w:t>
      </w:r>
      <w:r w:rsidR="00395A7E"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, в том числе:  </w:t>
      </w:r>
    </w:p>
    <w:p w:rsid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-обеспечение электрической энергией, газом и паром; кондиционирование воздуха– 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353 тыс.рублей (3,0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% от общего объема инвестиций);</w:t>
      </w:r>
    </w:p>
    <w:p w:rsidR="001E5C9A" w:rsidRPr="00395A7E" w:rsidRDefault="001E5C9A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-торговля опртовая и роничная; ремнт автотранспортных средств и мотоциклов 10 тыс. руб. </w:t>
      </w:r>
      <w:r w:rsidRPr="001E5C9A">
        <w:rPr>
          <w:rFonts w:ascii="Times New Roman" w:eastAsia="Times New Roman" w:hAnsi="Times New Roman"/>
          <w:noProof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10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,0</w:t>
      </w:r>
      <w:r w:rsidRPr="001E5C9A">
        <w:rPr>
          <w:rFonts w:ascii="Times New Roman" w:eastAsia="Times New Roman" w:hAnsi="Times New Roman"/>
          <w:noProof/>
          <w:sz w:val="24"/>
          <w:szCs w:val="24"/>
          <w:lang w:eastAsia="ru-RU"/>
        </w:rPr>
        <w:t>% от общего объема инвестиций);</w:t>
      </w:r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государственное управление и обеспечение военной безопасности; социальное обеспечение – 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824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 руб. (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7,0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образование –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865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 руб. (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7,0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%);</w:t>
      </w:r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- деятельность в области здравоохранения и социальных услуг –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9194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 руб. (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79,0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%),</w:t>
      </w:r>
    </w:p>
    <w:p w:rsidR="00395A7E" w:rsidRDefault="001E5C9A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- д</w:t>
      </w:r>
      <w:r w:rsidR="00395A7E"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еятельность в области культуры, спорта, организации досуга и развлечений –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348</w:t>
      </w:r>
      <w:r w:rsidR="00395A7E"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 руб. (</w:t>
      </w:r>
      <w:r w:rsidR="00B55F8A">
        <w:rPr>
          <w:rFonts w:ascii="Times New Roman" w:eastAsia="Times New Roman" w:hAnsi="Times New Roman"/>
          <w:noProof/>
          <w:sz w:val="24"/>
          <w:szCs w:val="24"/>
          <w:lang w:eastAsia="ru-RU"/>
        </w:rPr>
        <w:t>3,0</w:t>
      </w:r>
      <w:r w:rsidR="00395A7E"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%). </w:t>
      </w:r>
    </w:p>
    <w:p w:rsidR="00395A7E" w:rsidRPr="00395A7E" w:rsidRDefault="00395A7E" w:rsidP="00B55F8A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Инвестиции в основной капитал по видам экономической деятельности по крупным и средним предприятиям и орган</w:t>
      </w:r>
      <w:r w:rsidR="00B55F8A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изациям за 9 мес.</w:t>
      </w:r>
      <w:r w:rsidRPr="00395A7E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 xml:space="preserve"> 201</w:t>
      </w:r>
      <w:r w:rsidR="001E5C9A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 xml:space="preserve"> г.</w:t>
      </w:r>
    </w:p>
    <w:p w:rsidR="00395A7E" w:rsidRPr="00395A7E" w:rsidRDefault="006D5C60" w:rsidP="00395A7E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4E54205" wp14:editId="2A228160">
            <wp:extent cx="5876014" cy="2568272"/>
            <wp:effectExtent l="0" t="0" r="10795" b="22860"/>
            <wp:docPr id="7" name="Объект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95A7E" w:rsidRPr="00395A7E" w:rsidRDefault="00395A7E" w:rsidP="00083D97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proofErr w:type="gramStart"/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В структуре инвестиций доля привлеченных средств составила – </w:t>
      </w:r>
      <w:r w:rsidR="00FC48DD">
        <w:rPr>
          <w:rFonts w:ascii="Times New Roman" w:eastAsia="Times New Roman" w:hAnsi="Times New Roman"/>
          <w:noProof/>
          <w:sz w:val="24"/>
          <w:szCs w:val="24"/>
          <w:lang w:eastAsia="ru-RU"/>
        </w:rPr>
        <w:t>96,9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% (</w:t>
      </w:r>
      <w:r w:rsidR="00FC48DD">
        <w:rPr>
          <w:rFonts w:ascii="Times New Roman" w:eastAsia="Times New Roman" w:hAnsi="Times New Roman"/>
          <w:noProof/>
          <w:sz w:val="24"/>
          <w:szCs w:val="24"/>
          <w:lang w:eastAsia="ru-RU"/>
        </w:rPr>
        <w:t>11231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 руб.), из них доля бюджетных средств составила – </w:t>
      </w:r>
      <w:r w:rsidR="00FC48DD">
        <w:rPr>
          <w:rFonts w:ascii="Times New Roman" w:eastAsia="Times New Roman" w:hAnsi="Times New Roman"/>
          <w:noProof/>
          <w:sz w:val="24"/>
          <w:szCs w:val="24"/>
          <w:lang w:eastAsia="ru-RU"/>
        </w:rPr>
        <w:t>97,9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% </w:t>
      </w:r>
      <w:r w:rsidR="00FC48DD">
        <w:rPr>
          <w:rFonts w:ascii="Times New Roman" w:eastAsia="Times New Roman" w:hAnsi="Times New Roman"/>
          <w:noProof/>
          <w:sz w:val="24"/>
          <w:szCs w:val="24"/>
          <w:lang w:eastAsia="ru-RU"/>
        </w:rPr>
        <w:t>10997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тыс.руб.</w:t>
      </w:r>
      <w:r w:rsidR="00FC48DD">
        <w:rPr>
          <w:rFonts w:ascii="Times New Roman" w:eastAsia="Times New Roman" w:hAnsi="Times New Roman"/>
          <w:noProof/>
          <w:sz w:val="24"/>
          <w:szCs w:val="24"/>
          <w:lang w:eastAsia="ru-RU"/>
        </w:rPr>
        <w:t>( в т. ч. федеральный 150 тыс. руб., областной 9924 тыс. руб., местный 923 тыс. руб.), соб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ственные средства – </w:t>
      </w:r>
      <w:r w:rsidR="00FC48DD">
        <w:rPr>
          <w:rFonts w:ascii="Times New Roman" w:eastAsia="Times New Roman" w:hAnsi="Times New Roman"/>
          <w:noProof/>
          <w:sz w:val="24"/>
          <w:szCs w:val="24"/>
          <w:lang w:eastAsia="ru-RU"/>
        </w:rPr>
        <w:t>3,1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% (</w:t>
      </w:r>
      <w:r w:rsidR="00FC48DD">
        <w:rPr>
          <w:rFonts w:ascii="Times New Roman" w:eastAsia="Times New Roman" w:hAnsi="Times New Roman"/>
          <w:noProof/>
          <w:sz w:val="24"/>
          <w:szCs w:val="24"/>
          <w:lang w:eastAsia="ru-RU"/>
        </w:rPr>
        <w:t>363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тыс.руб.). </w:t>
      </w:r>
      <w:proofErr w:type="gramEnd"/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u w:val="single"/>
          <w:lang w:eastAsia="ru-RU"/>
        </w:rPr>
      </w:pPr>
      <w:proofErr w:type="gramStart"/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За 9 месяцев 201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года в Фировском районе ввод индивидуального жилья составил – 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1118 кв. м. (в 2,1 раза больше чем в аналогичном периоде 2018 года (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530 кв.м.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))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, в т.ч. в городских поселениях – 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198 кв. м.(9 мес. 2018 года-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276 кв.м.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)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, в сельских поселениях –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920 кв. м.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(</w:t>
      </w:r>
      <w:r w:rsidR="008D61AF" w:rsidRP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9 мес. 2018 года-</w:t>
      </w:r>
      <w:r w:rsidRPr="00395A7E">
        <w:rPr>
          <w:rFonts w:ascii="Times New Roman" w:eastAsia="Times New Roman" w:hAnsi="Times New Roman"/>
          <w:noProof/>
          <w:sz w:val="24"/>
          <w:szCs w:val="24"/>
          <w:lang w:eastAsia="ru-RU"/>
        </w:rPr>
        <w:t>254</w:t>
      </w:r>
      <w:r w:rsidR="00083D9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кв.м.</w:t>
      </w:r>
      <w:r w:rsidR="008D61AF">
        <w:rPr>
          <w:rFonts w:ascii="Times New Roman" w:eastAsia="Times New Roman" w:hAnsi="Times New Roman"/>
          <w:noProof/>
          <w:sz w:val="24"/>
          <w:szCs w:val="24"/>
          <w:lang w:eastAsia="ru-RU"/>
        </w:rPr>
        <w:t>).</w:t>
      </w:r>
      <w:proofErr w:type="gramEnd"/>
    </w:p>
    <w:p w:rsidR="00395A7E" w:rsidRPr="00395A7E" w:rsidRDefault="00395A7E" w:rsidP="00395A7E">
      <w:pPr>
        <w:pStyle w:val="1"/>
        <w:shd w:val="clear" w:color="auto" w:fill="auto"/>
        <w:spacing w:before="0" w:line="240" w:lineRule="auto"/>
        <w:ind w:firstLine="1080"/>
        <w:rPr>
          <w:rFonts w:ascii="Times New Roman" w:hAnsi="Times New Roman"/>
          <w:b/>
          <w:sz w:val="24"/>
          <w:szCs w:val="24"/>
        </w:rPr>
      </w:pPr>
    </w:p>
    <w:p w:rsidR="00395A7E" w:rsidRPr="002E44CE" w:rsidRDefault="00395A7E" w:rsidP="00395A7E">
      <w:pPr>
        <w:pStyle w:val="1"/>
        <w:shd w:val="clear" w:color="auto" w:fill="auto"/>
        <w:spacing w:before="0" w:line="240" w:lineRule="auto"/>
        <w:ind w:firstLine="1080"/>
        <w:jc w:val="center"/>
        <w:rPr>
          <w:rFonts w:ascii="Times New Roman" w:hAnsi="Times New Roman"/>
          <w:sz w:val="24"/>
          <w:szCs w:val="24"/>
          <w:u w:val="single"/>
        </w:rPr>
      </w:pPr>
      <w:r w:rsidRPr="002E44CE">
        <w:rPr>
          <w:rFonts w:ascii="Times New Roman" w:hAnsi="Times New Roman"/>
          <w:b/>
          <w:sz w:val="24"/>
          <w:szCs w:val="24"/>
          <w:u w:val="single"/>
        </w:rPr>
        <w:t>ЖИЛИЩНО-КОММУНАЛЬНОЕ ХОЗЯЙСТВО</w:t>
      </w:r>
    </w:p>
    <w:p w:rsidR="00395A7E" w:rsidRDefault="00395A7E" w:rsidP="00083D97">
      <w:pPr>
        <w:pStyle w:val="1"/>
        <w:shd w:val="clear" w:color="auto" w:fill="auto"/>
        <w:spacing w:before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>В 2019 году в рамках Муниципальной программы муниципального образования Фировский район Тверской области "Развитие жилищно-коммунальной инфраструктуры, строительства, сферы транспорта, дорожного хозяйства и обеспечение энергосбережения в целях повышения энергетической эффективности" на 2019 - 2021 годы реализованы следующие мероприятия.</w:t>
      </w:r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В 2019 году Администрация Фировского района получила субсидии из областного бюджета Тверской области на проведение капитального </w:t>
      </w:r>
      <w:proofErr w:type="gram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ремонта объектов теплоэнергетических комплексов муниципальных образований Тверской области</w:t>
      </w:r>
      <w:proofErr w:type="gram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 с применением </w:t>
      </w:r>
      <w:proofErr w:type="spell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энергоэффективных</w:t>
      </w:r>
      <w:proofErr w:type="spell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 технологий. В рамках областной программы проведены работы по капитальному ремонту теплотрассы п. </w:t>
      </w:r>
      <w:proofErr w:type="gram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Граничный</w:t>
      </w:r>
      <w:proofErr w:type="gram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 протяженностью 217 </w:t>
      </w:r>
      <w:proofErr w:type="spell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п.м</w:t>
      </w:r>
      <w:proofErr w:type="spell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., общая стоимость работ составила 1493,694 тыс. рублей. </w:t>
      </w:r>
      <w:proofErr w:type="gram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Также в результате достигнутой экономии средств областного бюджета вторым этапом в областную программу капитального ремонта теплоэнергетических комплексов был включен еще один объект Фировского района: была проведена замена участков теплотрассы от теплового колодца ул. Пушкина до д. № 31, 33 и ул. Мира д. № 1, 3, 4, 5 п. Труд протяженностью 256 </w:t>
      </w:r>
      <w:proofErr w:type="spell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п.м</w:t>
      </w:r>
      <w:proofErr w:type="spell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>., общая стоимость работ составила 1 245,217 тыс. рублей.</w:t>
      </w:r>
      <w:proofErr w:type="gramEnd"/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Администрацией Фировского района принято постановление от 15.05.2019 № 58 «О подготовке и проведении отопительного сезона 2019-2020 годов на территории муниципального образования Фировский район Тверской области». </w:t>
      </w:r>
      <w:proofErr w:type="gram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Данным постановлением утвержден состав комиссии по контролю за ходом подготовки жилого фонда, объектов социальной сферы и инженерной инфраструктуры к работе в осенне-зимний период 2019-2020 года и прохождения отопительного сезона, положение о Комиссии, общий план-график мероприятий по подготовке к отопительному периоду 2019-2020 гг. План подготовки согласован с органами местного самоуправления, жилищно-коммунальными предприятиями, бюджетными учреждениями и иными организациями Фировского района и представляет</w:t>
      </w:r>
      <w:proofErr w:type="gram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 собой перечень мероприятий, направленных на обеспечение безаварийного прохождения отопительного периода.</w:t>
      </w:r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lastRenderedPageBreak/>
        <w:t>Администрацией Фировского района проведено семь заседаний комиссии по подготовке к осенне-зимнему периоду 2019-2020 годов, на которых все предприятия топливно – энергетического комплекса Фировского района докладывали о мероприятиях, проводимых по подготовке к новому отопительному периоду.</w:t>
      </w:r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>Все работы были выполнены в соответствии с утвержденным планом-графиком.</w:t>
      </w:r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МУП «Фировское ЖКХ» выполнены работы по замене водопроводных сетей в п. Граничный протяженностью 200 м. Произведен ремонт твердотопливного котла </w:t>
      </w:r>
      <w:proofErr w:type="spell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КВр</w:t>
      </w:r>
      <w:proofErr w:type="spell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 0,63 в котельной п. Труд.</w:t>
      </w:r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В котельной п. Великооктябрьский по плану произведен ремонт теплосетей на ул. </w:t>
      </w:r>
      <w:proofErr w:type="gram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Профсоюзная</w:t>
      </w:r>
      <w:proofErr w:type="gram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. </w:t>
      </w:r>
      <w:proofErr w:type="gram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Также отремонтированы колодцы канализации по ул. Профсоюзная, д. 17, ул. Кооперативная, д. 3 п. Великооктябрьский.</w:t>
      </w:r>
      <w:proofErr w:type="gramEnd"/>
    </w:p>
    <w:p w:rsidR="009A43F8" w:rsidRPr="009A43F8" w:rsidRDefault="009A43F8" w:rsidP="009A43F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МУП «Великооктябрьский коммунальщик» заменены участок водопровода протяженностью 15 м по ул. </w:t>
      </w:r>
      <w:proofErr w:type="gram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Советская</w:t>
      </w:r>
      <w:proofErr w:type="gram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>, ул. Цнинская п. Великооктябрьский, участок водопровода протяженностью 40 м, проходящий через центр п. Великооктябрьский, участок водопровода протяженностью 60 м по ул. Кооперативная, д. 11.</w:t>
      </w:r>
    </w:p>
    <w:p w:rsidR="009A43F8" w:rsidRPr="009A43F8" w:rsidRDefault="009A43F8" w:rsidP="009A43F8">
      <w:pPr>
        <w:widowControl w:val="0"/>
        <w:spacing w:after="0" w:line="240" w:lineRule="auto"/>
        <w:ind w:firstLine="708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spacing w:val="5"/>
          <w:sz w:val="24"/>
          <w:szCs w:val="24"/>
        </w:rPr>
        <w:t xml:space="preserve">Для подачи тепловой энергии потребителям подготовлены к работе в осенне-зимний период 6 котельных: центральная котельная, котельная ЦРБ в п. Фирово, </w:t>
      </w:r>
      <w:proofErr w:type="spellStart"/>
      <w:r w:rsidRPr="009A43F8">
        <w:rPr>
          <w:rFonts w:ascii="Times New Roman" w:eastAsiaTheme="minorHAnsi" w:hAnsi="Times New Roman"/>
          <w:spacing w:val="5"/>
          <w:sz w:val="24"/>
          <w:szCs w:val="24"/>
        </w:rPr>
        <w:t>блочно</w:t>
      </w:r>
      <w:proofErr w:type="spellEnd"/>
      <w:r w:rsidRPr="009A43F8">
        <w:rPr>
          <w:rFonts w:ascii="Times New Roman" w:eastAsiaTheme="minorHAnsi" w:hAnsi="Times New Roman"/>
          <w:spacing w:val="5"/>
          <w:sz w:val="24"/>
          <w:szCs w:val="24"/>
        </w:rPr>
        <w:t>-модульная котельная в п. Великооктябрьский, котельные п. Граничный, п. Труд, п. Сосновка. Проведена поверка контрольно-измерительных приборов. На твердотопливных котельных в п. Труд, п. Граничный, п. Сосновка произведена чистка котлов и боровов. На котельных п. Фирово и п. Великооктябрьский выполнены работы по промывке теплообменников. Произведена ревизия запорной арматуры, задвижек, вентилей на всех котельных. Проведено обучение персонала предприятий коммунальной сферы в сфере теплоснабжения.</w:t>
      </w:r>
    </w:p>
    <w:p w:rsidR="009A43F8" w:rsidRPr="009A43F8" w:rsidRDefault="009A43F8" w:rsidP="009A43F8">
      <w:pPr>
        <w:widowControl w:val="0"/>
        <w:spacing w:after="0" w:line="240" w:lineRule="auto"/>
        <w:ind w:firstLine="740"/>
        <w:jc w:val="both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Запас материально - технических сре</w:t>
      </w:r>
      <w:proofErr w:type="gramStart"/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дств дл</w:t>
      </w:r>
      <w:proofErr w:type="gramEnd"/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я ликвидации аварийных ситуаций в сфере жилищно-коммунального хозяйства сформирован.</w:t>
      </w:r>
    </w:p>
    <w:p w:rsidR="009A43F8" w:rsidRPr="009A43F8" w:rsidRDefault="009A43F8" w:rsidP="009A43F8">
      <w:pPr>
        <w:widowControl w:val="0"/>
        <w:spacing w:after="0" w:line="240" w:lineRule="auto"/>
        <w:ind w:firstLine="740"/>
        <w:jc w:val="both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В рамках адресной инвестиционной программы Тверской области выполнены работы по 2 этапу проекта «</w:t>
      </w:r>
      <w:proofErr w:type="spellStart"/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Внутрипоселковые</w:t>
      </w:r>
      <w:proofErr w:type="spellEnd"/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 разводящие газовые сети п. Фирово» протяженностью 4 788 м, на сумму 13 626,4 тыс. руб. Заключен муниципальный контракт на техническое обслуживание газопроводов высокого и низкого давления, газового оборудования и сооружений, расположенных на них.</w:t>
      </w:r>
    </w:p>
    <w:p w:rsidR="009A43F8" w:rsidRPr="009A43F8" w:rsidRDefault="009A43F8" w:rsidP="009A43F8">
      <w:pPr>
        <w:widowControl w:val="0"/>
        <w:spacing w:after="0" w:line="240" w:lineRule="auto"/>
        <w:ind w:firstLine="740"/>
        <w:jc w:val="both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В рамках региональной программы капитального ремонта многоквартирных домов региональным оператором фонда капитального ремонта многоквартирных домов Тверской области произведен капитальный ремонт кровель многоквартирных домов по следующим адресам: п. Фирово, ул. </w:t>
      </w:r>
      <w:proofErr w:type="gramStart"/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Новая</w:t>
      </w:r>
      <w:proofErr w:type="gramEnd"/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, д. 96; п. Великооктябрьский, ул. Кооперативная, д. 22.</w:t>
      </w:r>
    </w:p>
    <w:p w:rsidR="009A43F8" w:rsidRPr="009A43F8" w:rsidRDefault="009A43F8" w:rsidP="009A43F8">
      <w:pPr>
        <w:widowControl w:val="0"/>
        <w:spacing w:after="0" w:line="240" w:lineRule="auto"/>
        <w:ind w:firstLine="740"/>
        <w:jc w:val="both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9A43F8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В соответствии с распоряжением Администрации Фировского района от 18.09.2019 № 263 «О начале отопительного периода 2019-2020 годов» отопительный период начался с 23.09.2019.</w:t>
      </w:r>
    </w:p>
    <w:p w:rsidR="00395A7E" w:rsidRDefault="00395A7E" w:rsidP="00395A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A7E" w:rsidRPr="002E44CE" w:rsidRDefault="00395A7E" w:rsidP="00395A7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E44CE">
        <w:rPr>
          <w:rFonts w:ascii="Times New Roman" w:hAnsi="Times New Roman"/>
          <w:b/>
          <w:sz w:val="24"/>
          <w:szCs w:val="24"/>
          <w:u w:val="single"/>
        </w:rPr>
        <w:t>ДОРОЖНОЕ ХОЗЯЙСТВО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Важным фактором развития территории является качество дорог. В 2019 году в целях содержания автомобильных дорог регионального и межмуниципального значения Тверской области 3 класса в муниципальном образовании «Фировский район» Тверской области был заключен муниципальный контракт с ООО «Фировское ДРСУ» на общую сумму </w:t>
      </w:r>
      <w:r w:rsidRPr="009A43F8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5127,8 </w:t>
      </w:r>
      <w:r w:rsidRPr="009A43F8">
        <w:rPr>
          <w:rFonts w:ascii="Times New Roman" w:eastAsiaTheme="minorHAnsi" w:hAnsi="Times New Roman"/>
          <w:sz w:val="24"/>
          <w:szCs w:val="24"/>
        </w:rPr>
        <w:t xml:space="preserve">тыс. рублей. 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В рамках муниципального контракт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а ООО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«Фировское ДРСУ» выполняет работы по расчистке дорог от снега, по восстановлению профиля гравийных дорог с добавлением нового материала и без добавления, профилированию проезжей части автомобильных дорог. Администрацией Фировского района обеспечивается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контроль за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надлежащим выполнением работ, за счет этого удается достичь экономии средств и выполнить дополнительный объем работ по наиболее проблемным участкам дорог.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Администрациями городских и сельских поселений заключены договоры на содержание улично-дорожной сети в пределах своих полномочий. В рамках данных договоров выполнены </w:t>
      </w:r>
      <w:r w:rsidRPr="009A43F8">
        <w:rPr>
          <w:rFonts w:ascii="Times New Roman" w:eastAsiaTheme="minorHAnsi" w:hAnsi="Times New Roman"/>
          <w:sz w:val="24"/>
          <w:szCs w:val="24"/>
        </w:rPr>
        <w:lastRenderedPageBreak/>
        <w:t>работы по подготовке автомобильных дорог общего пользования местного значения к зимнему периоду, в том числе восстановление профиля автодорог с добавлением нового материала, профилирование проезжих частей автомобильных дорог, ямочный ремонт асфальтобетонного покрытия, в том числе были выполнены следующие работы: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восстановление профиля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гравийной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дорого по ул. </w:t>
      </w:r>
      <w:proofErr w:type="spellStart"/>
      <w:r w:rsidRPr="009A43F8">
        <w:rPr>
          <w:rFonts w:ascii="Times New Roman" w:eastAsiaTheme="minorHAnsi" w:hAnsi="Times New Roman"/>
          <w:sz w:val="24"/>
          <w:szCs w:val="24"/>
        </w:rPr>
        <w:t>Шлинская</w:t>
      </w:r>
      <w:proofErr w:type="spellEnd"/>
      <w:r w:rsidRPr="009A43F8">
        <w:rPr>
          <w:rFonts w:ascii="Times New Roman" w:eastAsiaTheme="minorHAnsi" w:hAnsi="Times New Roman"/>
          <w:sz w:val="24"/>
          <w:szCs w:val="24"/>
        </w:rPr>
        <w:t xml:space="preserve"> с. Рождество и п. Граничный;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ямочный ремонт асфальтобетонного покрытия в д. </w:t>
      </w:r>
      <w:proofErr w:type="spellStart"/>
      <w:r w:rsidRPr="009A43F8">
        <w:rPr>
          <w:rFonts w:ascii="Times New Roman" w:eastAsiaTheme="minorHAnsi" w:hAnsi="Times New Roman"/>
          <w:sz w:val="24"/>
          <w:szCs w:val="24"/>
        </w:rPr>
        <w:t>Баталино</w:t>
      </w:r>
      <w:proofErr w:type="spellEnd"/>
      <w:r w:rsidRPr="009A43F8">
        <w:rPr>
          <w:rFonts w:ascii="Times New Roman" w:eastAsiaTheme="minorHAnsi" w:hAnsi="Times New Roman"/>
          <w:sz w:val="24"/>
          <w:szCs w:val="24"/>
        </w:rPr>
        <w:t>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- ямочный ремонт по ул. Садовая, ул. Кооперативная, ул. Школьная п. Великооктябрьский;</w:t>
      </w:r>
      <w:proofErr w:type="gramEnd"/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ямочный ремонт по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Новая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ямочный ремонт по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Комсомольская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- ямочный ремонт в районе железнодорожного переезда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- ямочный ремонт по ул. Мира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восстановление профиля гравийной дороги по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Колхозная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д. Жуково.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В рамках программы «Формирование современной городской среды» на территории Великооктябрьского городского поселения реализован проект по асфальтированию придомовых проездов по ул. Советская, д. 2 и д. 4 и ул. Кооперативная д. 14.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В течение 9 месяцев 2019 года в рамках областной программы по капитальному ремонту автомобильных дорог общего пользования местного значения  выполнены работы по ремонту следующих автомобильных дорог и придомовых территорий: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восстановление профиля гравийной дороги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Октябрьская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в пгт. Великооктябрьский Фировского района;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- ремонт дворовых территорий многоквартирных домов и проездов к ним по адресу: пгт. Великооктябрьский, ул. Кооперативная, д. 7;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- восстановление грунтового покрытия на участках дороги в д. Дубровка;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ремонт участка автомобильной дороги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Школьная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с. Рождество;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ремонт автомобильной дороги по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Садовая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>, пгт. Фирово;</w:t>
      </w:r>
      <w:r w:rsidRPr="009A43F8">
        <w:rPr>
          <w:rFonts w:ascii="Times New Roman" w:eastAsiaTheme="minorHAnsi" w:hAnsi="Times New Roman"/>
          <w:sz w:val="24"/>
          <w:szCs w:val="24"/>
        </w:rPr>
        <w:tab/>
        <w:t xml:space="preserve"> 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- ремонт асфальтобетонного покрытия по ул. Гагарина, пгт. Фирово.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>В рамках государственной программы Тверской области «Развитие транспортного комплекса и дорожного хозяйства Тверской области» на 2016 – 2021 годы» выполнены мероприятия в целях обеспечения безопасности дорожного движения на автомобильных дорогах общего пользования местного значения, а именно: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монтаж искусственной дорожной неровности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Советская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нанесение линии поперечной дорожной разметки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Советская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нанесение линии поперечной дорожной разметки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Школьная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нанесение линии поперечной дорожной разметки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Комсомольская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монтаж искусственной дорожной неровности (2 шт.)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Комсомольская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Фирово;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нанесение линии поперечной дорожной разметки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Первомайская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Великооктябрьский;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монтаж искусственной дорожной неровности (2 шт.)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Кооперативная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Великооктябрьский;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нанесение линии поперечной дорожной разметки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Школьная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Великооктябрьский;</w:t>
      </w:r>
    </w:p>
    <w:p w:rsidR="009A43F8" w:rsidRPr="009A43F8" w:rsidRDefault="009A43F8" w:rsidP="009A43F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- монтаж искусственной дорожной неровности на ул.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Школьная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п. Великооктябрьский.</w:t>
      </w:r>
    </w:p>
    <w:p w:rsidR="00395A7E" w:rsidRPr="00395A7E" w:rsidRDefault="009A43F8" w:rsidP="009A43F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A43F8">
        <w:rPr>
          <w:rFonts w:ascii="Times New Roman" w:eastAsiaTheme="minorHAnsi" w:hAnsi="Times New Roman"/>
          <w:sz w:val="24"/>
          <w:szCs w:val="24"/>
        </w:rPr>
        <w:t xml:space="preserve">Одним из проблемных вопросов дорожного хозяйства являются разбитые дороги после вывозки леса из делянок. Администрацией Фировского района неоднократно проводилась работа в направлении решения вопроса восстановления дорог с арендаторами лесов. Проводились совещания с представителями прокуратуры, арендаторами лесов, лесничества, ДРСУ. В настоящее время в соответствии с поручением Губернатора Тверской области И.М. </w:t>
      </w:r>
      <w:proofErr w:type="spellStart"/>
      <w:r w:rsidRPr="009A43F8">
        <w:rPr>
          <w:rFonts w:ascii="Times New Roman" w:eastAsiaTheme="minorHAnsi" w:hAnsi="Times New Roman"/>
          <w:sz w:val="24"/>
          <w:szCs w:val="24"/>
        </w:rPr>
        <w:t>Рудени</w:t>
      </w:r>
      <w:proofErr w:type="spellEnd"/>
      <w:r w:rsidRPr="009A43F8">
        <w:rPr>
          <w:rFonts w:ascii="Times New Roman" w:eastAsiaTheme="minorHAnsi" w:hAnsi="Times New Roman"/>
          <w:sz w:val="24"/>
          <w:szCs w:val="24"/>
        </w:rPr>
        <w:t xml:space="preserve"> подготовлен проект Соглашения </w:t>
      </w:r>
      <w:proofErr w:type="gramStart"/>
      <w:r w:rsidRPr="009A43F8">
        <w:rPr>
          <w:rFonts w:ascii="Times New Roman" w:eastAsiaTheme="minorHAnsi" w:hAnsi="Times New Roman"/>
          <w:sz w:val="24"/>
          <w:szCs w:val="24"/>
        </w:rPr>
        <w:t>о сотрудничестве по использованию при осуществлении лесозаготовительных работ автомобильных дорог на территории Тверской области между Администрацией</w:t>
      </w:r>
      <w:proofErr w:type="gramEnd"/>
      <w:r w:rsidRPr="009A43F8">
        <w:rPr>
          <w:rFonts w:ascii="Times New Roman" w:eastAsiaTheme="minorHAnsi" w:hAnsi="Times New Roman"/>
          <w:sz w:val="24"/>
          <w:szCs w:val="24"/>
        </w:rPr>
        <w:t xml:space="preserve"> Фировского района, ГКУ Тверской области «Фировское лесничество Тверской </w:t>
      </w:r>
      <w:r w:rsidRPr="009A43F8">
        <w:rPr>
          <w:rFonts w:ascii="Times New Roman" w:eastAsiaTheme="minorHAnsi" w:hAnsi="Times New Roman"/>
          <w:sz w:val="24"/>
          <w:szCs w:val="24"/>
        </w:rPr>
        <w:lastRenderedPageBreak/>
        <w:t>области» и лесозаготовительными организациями, проходит процедура согласования данного проекта.</w:t>
      </w:r>
    </w:p>
    <w:p w:rsidR="00395A7E" w:rsidRPr="00395A7E" w:rsidRDefault="00395A7E" w:rsidP="00395A7E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21E1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МАЛОЕ ПРЕДПРИНИМАТЕЛЬСТВО И ПОТРЕБИТЕЛЬСКИЙ РЫНОК</w:t>
      </w:r>
      <w:r w:rsidRPr="00395A7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395A7E" w:rsidRPr="00395A7E" w:rsidRDefault="00395A7E" w:rsidP="00395A7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Малый бизнес – важный сектор рыночной экономики. И</w:t>
      </w:r>
      <w:r w:rsidRPr="000B54D3">
        <w:rPr>
          <w:rFonts w:ascii="Times New Roman" w:eastAsiaTheme="minorHAnsi" w:hAnsi="Times New Roman"/>
          <w:color w:val="000000"/>
          <w:sz w:val="24"/>
          <w:szCs w:val="24"/>
        </w:rPr>
        <w:t>менно с помощью предпринимательской деятельности в обществе производится продукция, и оказываются необходимые населению услуги.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По данным Единого реестра субъектов малого и среднего предпринимательства (далее – Реестр СМП), размещённого в открытом доступе (</w:t>
      </w:r>
      <w:hyperlink r:id="rId17" w:history="1">
        <w:r w:rsidRPr="000B54D3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https://rmsp.nalog.ru/</w:t>
        </w:r>
      </w:hyperlink>
      <w:r w:rsidRPr="000B54D3">
        <w:rPr>
          <w:rFonts w:ascii="Times New Roman" w:eastAsiaTheme="minorHAnsi" w:hAnsi="Times New Roman"/>
          <w:sz w:val="24"/>
          <w:szCs w:val="24"/>
        </w:rPr>
        <w:t>), на территории Фировского района по состоянию на 01.10.2019 зарегистрировано 152 субъекта малого и среднего предпринимательства, из которых: индивидуальных предпринимателей – 117, юридических лиц – 35 единиц. В структуре юридических лиц преобладают микропредприятия – их количество составило 28 единиц, малых предприятий – 7.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За период с 01.10.2018 по 01.10.2019 количество субъектов малого и среднего предпринимательства увеличилось на 10 единиц, в основном за счет открытия индивидуальных предпринимателей. На прогнозируемый период до 2022 года планируется дальнейшее увеличение численности индивидуальных предпринимателей до 141 единицы.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Распределение субъектов малого и среднего предпринимательства по видам деятельности представлено на рисунке:</w:t>
      </w:r>
    </w:p>
    <w:p w:rsidR="00395A7E" w:rsidRPr="00395A7E" w:rsidRDefault="000B54D3" w:rsidP="000B54D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1E797C2" wp14:editId="0CB5D242">
            <wp:extent cx="6392848" cy="3601941"/>
            <wp:effectExtent l="0" t="0" r="27305" b="1778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0B54D3">
        <w:rPr>
          <w:rFonts w:ascii="Times New Roman" w:eastAsiaTheme="minorHAnsi" w:hAnsi="Times New Roman"/>
          <w:sz w:val="24"/>
          <w:szCs w:val="24"/>
        </w:rPr>
        <w:t>По состоянию на 01.10.2019 в Фировском районе 51 магазин (32 единицы – в городских поселениях, 19 – в сельских), из них продовольственных – 6, смешанных – 29, промтоварных – 16; 3 объекта общественного питания; 2 аптеки с филиалами, расположенными в населенных пунктах района; 6 нестационарных торговых объектов (павильонов).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 xml:space="preserve"> По сравнению с аналогичным периодом с начала 2018 года наблюдается сокращение торговой сети, в частности, в сельской местности, что влечёт за собой сокращение торговых площадей.</w:t>
      </w:r>
    </w:p>
    <w:p w:rsidR="000B54D3" w:rsidRPr="000B54D3" w:rsidRDefault="000B54D3" w:rsidP="000B5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По состоянию на 01.10.2019 торговая площадь магазинов (без учета нестационарных торговых объектов) по Фировскому району составила 2490,15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 За период с 01.10.2018 по 01.10.2019 значение показателя уменьшилось на 537,65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 xml:space="preserve">, </w:t>
      </w:r>
      <w:r w:rsidRPr="000B54D3">
        <w:rPr>
          <w:rFonts w:ascii="Times New Roman" w:eastAsiaTheme="minorHAnsi" w:hAnsi="Times New Roman"/>
          <w:sz w:val="24"/>
          <w:szCs w:val="24"/>
          <w:u w:val="single"/>
        </w:rPr>
        <w:t>закрыты следующие торговые объекты</w:t>
      </w:r>
      <w:r w:rsidRPr="000B54D3">
        <w:rPr>
          <w:rFonts w:ascii="Times New Roman" w:eastAsiaTheme="minorHAnsi" w:hAnsi="Times New Roman"/>
          <w:sz w:val="24"/>
          <w:szCs w:val="24"/>
        </w:rPr>
        <w:t>:</w:t>
      </w:r>
    </w:p>
    <w:p w:rsidR="000B54D3" w:rsidRPr="000B54D3" w:rsidRDefault="000B54D3" w:rsidP="000B54D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Удалова Е.И. (п. Фирово) – 28,2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ООО «Феникс» «</w:t>
      </w:r>
      <w:proofErr w:type="spellStart"/>
      <w:r w:rsidRPr="000B54D3">
        <w:rPr>
          <w:rFonts w:ascii="Times New Roman" w:eastAsiaTheme="minorHAnsi" w:hAnsi="Times New Roman"/>
          <w:sz w:val="24"/>
          <w:szCs w:val="24"/>
        </w:rPr>
        <w:t>Алкомаркет</w:t>
      </w:r>
      <w:proofErr w:type="spellEnd"/>
      <w:r w:rsidRPr="000B54D3">
        <w:rPr>
          <w:rFonts w:ascii="Times New Roman" w:eastAsiaTheme="minorHAnsi" w:hAnsi="Times New Roman"/>
          <w:sz w:val="24"/>
          <w:szCs w:val="24"/>
        </w:rPr>
        <w:t>» (п. Фирово) – 52,0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0B54D3" w:rsidRPr="000B54D3" w:rsidRDefault="000B54D3" w:rsidP="000B54D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ООО «Гризли» (п. Фирово) – 55,0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lastRenderedPageBreak/>
        <w:t>ООО «В-5» (п. Великооктябрьский, мебельный салон) – 83,5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 xml:space="preserve">ООО «Феникс»: </w:t>
      </w:r>
    </w:p>
    <w:p w:rsidR="000B54D3" w:rsidRPr="000B54D3" w:rsidRDefault="000B54D3" w:rsidP="000B54D3">
      <w:pPr>
        <w:numPr>
          <w:ilvl w:val="1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 xml:space="preserve">Торговые объекты в Великооктябрьском сельском поселении (д. Жуково, д. Дубровка, д. Стан, д. Старое, д. </w:t>
      </w:r>
      <w:proofErr w:type="spellStart"/>
      <w:r w:rsidRPr="000B54D3">
        <w:rPr>
          <w:rFonts w:ascii="Times New Roman" w:eastAsiaTheme="minorHAnsi" w:hAnsi="Times New Roman"/>
          <w:sz w:val="24"/>
          <w:szCs w:val="24"/>
        </w:rPr>
        <w:t>Трестино</w:t>
      </w:r>
      <w:proofErr w:type="spellEnd"/>
      <w:r w:rsidRPr="000B54D3">
        <w:rPr>
          <w:rFonts w:ascii="Times New Roman" w:eastAsiaTheme="minorHAnsi" w:hAnsi="Times New Roman"/>
          <w:sz w:val="24"/>
          <w:szCs w:val="24"/>
        </w:rPr>
        <w:t>, д. Дерева) – 232,0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1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Торговые объекты в Рождественском сельском поселении (п. Труд, д. Городок, д. Яблонька, с. Рождество, п. Комсомольский) -240,0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1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Торговые объекты в п. Фирово (ул. Новая, ул. Садовая) – 103,0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Нилова А.М. (п. Лесной) – 40,0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Кирьянов В.Н. (п. Великооктябрьский) – 22,0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0B54D3">
        <w:rPr>
          <w:rFonts w:ascii="Times New Roman" w:eastAsiaTheme="minorHAnsi" w:hAnsi="Times New Roman"/>
          <w:sz w:val="24"/>
          <w:szCs w:val="24"/>
          <w:u w:val="single"/>
        </w:rPr>
        <w:t>Открыты</w:t>
      </w:r>
      <w:proofErr w:type="gramEnd"/>
      <w:r w:rsidRPr="000B54D3">
        <w:rPr>
          <w:rFonts w:ascii="Times New Roman" w:eastAsiaTheme="minorHAnsi" w:hAnsi="Times New Roman"/>
          <w:sz w:val="24"/>
          <w:szCs w:val="24"/>
          <w:u w:val="single"/>
        </w:rPr>
        <w:t xml:space="preserve"> за рассматриваемый период</w:t>
      </w:r>
      <w:r w:rsidRPr="000B54D3">
        <w:rPr>
          <w:rFonts w:ascii="Times New Roman" w:eastAsiaTheme="minorHAnsi" w:hAnsi="Times New Roman"/>
          <w:sz w:val="24"/>
          <w:szCs w:val="24"/>
        </w:rPr>
        <w:t>: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Дмитриева О.А. (п. Фирово) – 30,0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Кушакова Е.В. (п. Фирово, магазин «Ключ») – 48,5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Кузнецов С.В. (д. Дубровка) – 19,55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Александрова Е.Ю. (п. Лесной, бывший магазин ИП Ниловой А.М.) – 40,0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ООО «САДКО» (п. Фирово, ул. Новая, бывший магазин ООО «Феникс») – 64,0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Орлова В.А. (п. Фирово, ул. Садовая, бывший магазин ООО «Феникс») – 39,0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 xml:space="preserve">ИП </w:t>
      </w:r>
      <w:proofErr w:type="spellStart"/>
      <w:r w:rsidRPr="000B54D3">
        <w:rPr>
          <w:rFonts w:ascii="Times New Roman" w:eastAsiaTheme="minorHAnsi" w:hAnsi="Times New Roman"/>
          <w:sz w:val="24"/>
          <w:szCs w:val="24"/>
        </w:rPr>
        <w:t>Садова</w:t>
      </w:r>
      <w:proofErr w:type="spellEnd"/>
      <w:r w:rsidRPr="000B54D3">
        <w:rPr>
          <w:rFonts w:ascii="Times New Roman" w:eastAsiaTheme="minorHAnsi" w:hAnsi="Times New Roman"/>
          <w:sz w:val="24"/>
          <w:szCs w:val="24"/>
        </w:rPr>
        <w:t xml:space="preserve"> М.Е. (д. Дерева, бывший магазин ООО «Феникс») – 46,0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ИП Мосина О.А. (п. Комсомольский, бывший магазин ООО «Феникс») – 31,0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В связи с прекращением деятельност</w:t>
      </w:r>
      <w:proofErr w:type="gramStart"/>
      <w:r w:rsidRPr="000B54D3">
        <w:rPr>
          <w:rFonts w:ascii="Times New Roman" w:eastAsiaTheme="minorHAnsi" w:hAnsi="Times New Roman"/>
          <w:sz w:val="24"/>
          <w:szCs w:val="24"/>
        </w:rPr>
        <w:t>и ООО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 xml:space="preserve"> «Феникс» закрыты 11 торговых объектов в сельской местности и 2 объекта в п. Фирово. </w:t>
      </w:r>
    </w:p>
    <w:p w:rsidR="000B54D3" w:rsidRPr="000B54D3" w:rsidRDefault="000B54D3" w:rsidP="000B5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Количество нестационарных торговых объектов (павильонов) на 01.10.2019 составило 6 единиц (на 01.10.2018 – также 6 единиц). Однако торговая площадь павильонов увеличилась до 200,2 м</w:t>
      </w:r>
      <w:proofErr w:type="gramStart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 xml:space="preserve"> </w:t>
      </w:r>
      <w:r w:rsidRPr="000B54D3">
        <w:rPr>
          <w:rFonts w:ascii="Times New Roman" w:eastAsiaTheme="minorHAnsi" w:hAnsi="Times New Roman"/>
          <w:sz w:val="24"/>
          <w:szCs w:val="24"/>
        </w:rPr>
        <w:t xml:space="preserve">в связи с тем, что в 4-ом квартале 2018 года закрыт павильон ИП </w:t>
      </w:r>
      <w:proofErr w:type="spellStart"/>
      <w:r w:rsidRPr="000B54D3">
        <w:rPr>
          <w:rFonts w:ascii="Times New Roman" w:eastAsiaTheme="minorHAnsi" w:hAnsi="Times New Roman"/>
          <w:sz w:val="24"/>
          <w:szCs w:val="24"/>
        </w:rPr>
        <w:t>Маханенко</w:t>
      </w:r>
      <w:proofErr w:type="spellEnd"/>
      <w:r w:rsidRPr="000B54D3">
        <w:rPr>
          <w:rFonts w:ascii="Times New Roman" w:eastAsiaTheme="minorHAnsi" w:hAnsi="Times New Roman"/>
          <w:sz w:val="24"/>
          <w:szCs w:val="24"/>
        </w:rPr>
        <w:t xml:space="preserve"> Ж.С. (п. Фирово, «У околицы») – 21,9 м</w:t>
      </w:r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0B54D3">
        <w:rPr>
          <w:rFonts w:ascii="Times New Roman" w:eastAsiaTheme="minorHAnsi" w:hAnsi="Times New Roman"/>
          <w:sz w:val="24"/>
          <w:szCs w:val="24"/>
        </w:rPr>
        <w:t xml:space="preserve">, а в 3-ем квартале 2019 года открыт павильон ИП </w:t>
      </w:r>
      <w:proofErr w:type="spellStart"/>
      <w:r w:rsidRPr="000B54D3">
        <w:rPr>
          <w:rFonts w:ascii="Times New Roman" w:eastAsiaTheme="minorHAnsi" w:hAnsi="Times New Roman"/>
          <w:sz w:val="24"/>
          <w:szCs w:val="24"/>
        </w:rPr>
        <w:t>Бойковой</w:t>
      </w:r>
      <w:proofErr w:type="spellEnd"/>
      <w:r w:rsidRPr="000B54D3">
        <w:rPr>
          <w:rFonts w:ascii="Times New Roman" w:eastAsiaTheme="minorHAnsi" w:hAnsi="Times New Roman"/>
          <w:sz w:val="24"/>
          <w:szCs w:val="24"/>
        </w:rPr>
        <w:t xml:space="preserve"> Т.С. (п. Фирово) – 38,5 м</w:t>
      </w:r>
      <w:r w:rsidRPr="000B54D3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0B54D3">
        <w:rPr>
          <w:rFonts w:ascii="Times New Roman" w:eastAsiaTheme="minorHAnsi" w:hAnsi="Times New Roman"/>
          <w:sz w:val="24"/>
          <w:szCs w:val="24"/>
        </w:rPr>
        <w:t>.</w:t>
      </w:r>
    </w:p>
    <w:p w:rsidR="000B54D3" w:rsidRPr="000B54D3" w:rsidRDefault="000B54D3" w:rsidP="000B5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4D3">
        <w:rPr>
          <w:rFonts w:ascii="Times New Roman" w:eastAsia="Times New Roman" w:hAnsi="Times New Roman"/>
          <w:sz w:val="24"/>
          <w:szCs w:val="24"/>
          <w:lang w:eastAsia="ru-RU"/>
        </w:rPr>
        <w:t>За 9 месяцев 2019 года в Фировском районе  отмечается увеличение по сравнению с аналогичным периодом прошлого года  физической массы оборота розничной торговли по  крупным и средним предприятиям района, который в действующих ценах на 01.10.2019 составил 159,1 млн.руб. или 102% к уровню соответствующего периода прошлого года.</w:t>
      </w:r>
      <w:r w:rsidRPr="000B54D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4D3">
        <w:rPr>
          <w:rFonts w:ascii="Times New Roman" w:eastAsia="Times New Roman" w:hAnsi="Times New Roman"/>
          <w:sz w:val="24"/>
          <w:szCs w:val="24"/>
          <w:lang w:eastAsia="ru-RU"/>
        </w:rPr>
        <w:t>Оборот общественного питания  наоборот уменьшился и составил по состоянию на 01.10.2019 1,3 млн. руб. или 81,6% к уровню соответствующего периода 2018 года.</w:t>
      </w:r>
      <w:r w:rsidRPr="000B54D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внедрения на территории Тверской области стандарта развития конкуренции в апреле – ноябре 2019 года проводится анкетирование среди населения и представителей бизнеса Фировского района. На основе анализа результатов анкетирования будет подготовлен </w:t>
      </w:r>
      <w:r w:rsidRPr="000B54D3">
        <w:rPr>
          <w:rFonts w:ascii="Times New Roman" w:eastAsiaTheme="minorHAnsi" w:hAnsi="Times New Roman"/>
          <w:sz w:val="24"/>
          <w:szCs w:val="24"/>
        </w:rPr>
        <w:t>Доклад  о состоянии  и развитии конкурентной среды на рынках товаров и услуг муниципального образования Фировский район Тверской области. Основными целями проводимой работы, как на уровне Тверского региона, так и на муниципальном уровне, являются: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- повышение удовлетворенности потребителей качеством потребляемых товаров, работ и услуг;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- повышение экономической эффективности и конкурентоспособности хозяйствующих субъектов;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- стабильный рост и развитие многоукладной экономики.</w:t>
      </w:r>
    </w:p>
    <w:p w:rsidR="000B54D3" w:rsidRPr="000B54D3" w:rsidRDefault="000B54D3" w:rsidP="000B54D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4D3">
        <w:rPr>
          <w:rFonts w:ascii="Times New Roman" w:eastAsia="Times New Roman" w:hAnsi="Times New Roman"/>
          <w:sz w:val="24"/>
          <w:szCs w:val="24"/>
          <w:lang w:eastAsia="ru-RU"/>
        </w:rPr>
        <w:t>Отделом экономики Администрации Фировского района ежемесячно проводится мониторинг цен на социально значимый набор товаров, продукцию сельскохозяйственного происхождения, а также на бензин и дизельное топливо.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 xml:space="preserve">С целью повышения эффективности работы по поддержке малого и среднего предпринимательства, координации совместных действий по основным направлениям развития бизнеса, создан и функционирует Координационный совет по развитию малого и среднего предпринимательства при Администрации Фировского района. </w:t>
      </w:r>
      <w:proofErr w:type="gramStart"/>
      <w:r w:rsidRPr="000B54D3">
        <w:rPr>
          <w:rFonts w:ascii="Times New Roman" w:eastAsiaTheme="minorHAnsi" w:hAnsi="Times New Roman"/>
          <w:sz w:val="24"/>
          <w:szCs w:val="24"/>
        </w:rPr>
        <w:t xml:space="preserve">Основными вопросами, рассмотренными на заседаниях Координационного совета за период с 01.10.2018 по 01.10.2019 являются: о согласовании  внесения изменений в Решение Собрания депутатов Фировского района №88 от 27.10.2018 «О системе налогообложения в виде единого налога на вмененный доход для отдельных видов деятельности», о согласовании Перечня муниципального имущества </w:t>
      </w:r>
      <w:r w:rsidRPr="000B54D3">
        <w:rPr>
          <w:rFonts w:ascii="Times New Roman" w:eastAsiaTheme="minorHAnsi" w:hAnsi="Times New Roman"/>
          <w:sz w:val="24"/>
          <w:szCs w:val="24"/>
        </w:rPr>
        <w:lastRenderedPageBreak/>
        <w:t>Фировского района Тверской области, свободного от прав третьих лиц (за исключением имущественных прав субъектов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0B54D3">
        <w:rPr>
          <w:rFonts w:ascii="Times New Roman" w:eastAsiaTheme="minorHAnsi" w:hAnsi="Times New Roman"/>
          <w:sz w:val="24"/>
          <w:szCs w:val="24"/>
        </w:rPr>
        <w:t>малого и среднего предпринимательства) используемого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 о нововведениях в пенсионном законодательстве с 01.01.2019; о мерах государственной поддержки субъектам малого и среднего предпринимательства, оказываемых институтами развития;</w:t>
      </w:r>
      <w:proofErr w:type="gramEnd"/>
      <w:r w:rsidRPr="000B54D3">
        <w:rPr>
          <w:rFonts w:ascii="Times New Roman" w:eastAsiaTheme="minorHAnsi" w:hAnsi="Times New Roman"/>
          <w:sz w:val="24"/>
          <w:szCs w:val="24"/>
        </w:rPr>
        <w:t xml:space="preserve"> об изменениях федерального законодательства в области бухгалтерского учета и налогообложения в 2019 году.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В целях обеспечения устойчивого развития экономики в муниципальном образовании Фировский район разработана, утверждена и реализуется муниципальная программа «Развитие инвестиционного потенциала, предпринимательства и агропромышленного комплекса» на 2019-2021 годы (далее – муниципальная программа). Развитие экономического потенциала территории, улучшение качества жизни населения определены приоритетными задачами муниципальной политики. Реализация подпрограммы 2 «Развитие малого и среднего предпринимательства в Фировском районе Тверской области» названной муниципальной программы связана с решением следующих задач: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а) «Популяризация предпринимательства»;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б) «Совер</w:t>
      </w:r>
      <w:r w:rsidR="00DD0118">
        <w:rPr>
          <w:rFonts w:ascii="Times New Roman" w:eastAsiaTheme="minorHAnsi" w:hAnsi="Times New Roman"/>
          <w:sz w:val="24"/>
          <w:szCs w:val="24"/>
        </w:rPr>
        <w:t xml:space="preserve">шенствование системы закупок, </w:t>
      </w:r>
      <w:r w:rsidRPr="000B54D3">
        <w:rPr>
          <w:rFonts w:ascii="Times New Roman" w:eastAsiaTheme="minorHAnsi" w:hAnsi="Times New Roman"/>
          <w:sz w:val="24"/>
          <w:szCs w:val="24"/>
        </w:rPr>
        <w:t>осуществляемых</w:t>
      </w:r>
      <w:r w:rsidR="00DD0118">
        <w:rPr>
          <w:rFonts w:ascii="Times New Roman" w:eastAsiaTheme="minorHAnsi" w:hAnsi="Times New Roman"/>
          <w:sz w:val="24"/>
          <w:szCs w:val="24"/>
        </w:rPr>
        <w:t xml:space="preserve"> заказчиками Фировского района у субъектов малого и </w:t>
      </w:r>
      <w:r w:rsidRPr="000B54D3">
        <w:rPr>
          <w:rFonts w:ascii="Times New Roman" w:eastAsiaTheme="minorHAnsi" w:hAnsi="Times New Roman"/>
          <w:sz w:val="24"/>
          <w:szCs w:val="24"/>
        </w:rPr>
        <w:t>среднего предпринимательства, включая индивидуальных предпринимателей»;</w:t>
      </w:r>
    </w:p>
    <w:p w:rsidR="000B54D3" w:rsidRPr="000B54D3" w:rsidRDefault="000B54D3" w:rsidP="000B54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B54D3">
        <w:rPr>
          <w:rFonts w:ascii="Times New Roman" w:eastAsiaTheme="minorHAnsi" w:hAnsi="Times New Roman"/>
          <w:sz w:val="24"/>
          <w:szCs w:val="24"/>
        </w:rPr>
        <w:t>в) «Расширение состава перечня муниципального имущества, включая земельные участки, предназначенного для предоставления в аренду субъектам малого и среднего предпринимательства».</w:t>
      </w:r>
    </w:p>
    <w:p w:rsidR="00395A7E" w:rsidRDefault="00395A7E" w:rsidP="00395A7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A7E" w:rsidRPr="00395A7E" w:rsidRDefault="00395A7E" w:rsidP="00395A7E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ФИНАНСОВОЕ СОСТОЯНИЕ ПРЕДПРИЯТИЙ И ОРГАНИЗАЦИЙ</w:t>
      </w:r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За январь-август 201</w:t>
      </w:r>
      <w:r w:rsidR="00DD011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целом по району крупные и средние организации сработали с отрицательным финансовым результатом. Убыток до налогообложения за январь-август 201</w:t>
      </w:r>
      <w:r w:rsidR="00DD011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по рассматриваемым организациям составил </w:t>
      </w:r>
      <w:r w:rsidR="00DD0118">
        <w:rPr>
          <w:rFonts w:ascii="Times New Roman" w:eastAsia="Times New Roman" w:hAnsi="Times New Roman"/>
          <w:sz w:val="24"/>
          <w:szCs w:val="24"/>
          <w:lang w:eastAsia="ru-RU"/>
        </w:rPr>
        <w:t>8124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(соответствующий период прошлого года убыток – </w:t>
      </w:r>
      <w:r w:rsidR="00DD0118">
        <w:rPr>
          <w:rFonts w:ascii="Times New Roman" w:eastAsia="Times New Roman" w:hAnsi="Times New Roman"/>
          <w:sz w:val="24"/>
          <w:szCs w:val="24"/>
          <w:lang w:eastAsia="ru-RU"/>
        </w:rPr>
        <w:t>5899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руб.)</w:t>
      </w:r>
    </w:p>
    <w:p w:rsid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Кредиторская задолженность крупных и средних организаций по состоянию на 01.09.201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95551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 xml:space="preserve"> (на 01.09.2018-64570 тыс. руб.)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, в т.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ч. просроченная – 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72370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 xml:space="preserve"> (на 01.098.2018- 58303 тыс. руб.). Просроченная задолженность </w:t>
      </w:r>
      <w:proofErr w:type="gramStart"/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 xml:space="preserve"> % к общей задолженности составляет 75,7%.</w:t>
      </w:r>
    </w:p>
    <w:p w:rsid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7147">
        <w:rPr>
          <w:rFonts w:ascii="Times New Roman" w:eastAsia="Times New Roman" w:hAnsi="Times New Roman"/>
          <w:sz w:val="24"/>
          <w:szCs w:val="24"/>
          <w:lang w:eastAsia="ru-RU"/>
        </w:rPr>
        <w:t>Задолженн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ость по платежам в бюджет крупных и средних организаций на 01.09.201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составила 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1648 тыс. руб. (на 01.09.2018-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3502 тыс. руб.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, в т.ч. просроченная 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>1019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  <w:r w:rsidR="001252B0">
        <w:rPr>
          <w:rFonts w:ascii="Times New Roman" w:eastAsia="Times New Roman" w:hAnsi="Times New Roman"/>
          <w:sz w:val="24"/>
          <w:szCs w:val="24"/>
          <w:lang w:eastAsia="ru-RU"/>
        </w:rPr>
        <w:t xml:space="preserve"> (на 01.09.2018-803 тыс. руб.).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 Удельный вес просроченной задолженности в общем объеме задолженности составляет 61,8% (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>на 01.09.2018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>- 22,9%).</w:t>
      </w:r>
    </w:p>
    <w:p w:rsid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Задолженность по платежам в государственные внебюджетные фонды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 крупных и средних организаций на 01.09.2019 года- 276 тыс. руб. (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на 01.09.2018 – 677 тыс. руб.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, в т.ч. просроченная 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>118 тыс. руб. (на 01.09.2018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– 451 тыс. руб.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Удельный вес просроченной задолженности в общем объеме задолженности составляет 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42,8 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% (на 01.09.2018- 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66,6 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>%).</w:t>
      </w:r>
    </w:p>
    <w:p w:rsid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Задолженность поставщикам и подрядчикам за товары, работы и услуги 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крупных и средних организаций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01.09.2019- 72735 тыс. руб. (на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01.09.2018 – 59343 тыс. руб.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, в т.ч. просроченная – 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>69522 тыс. руб. (на 01.09.2018-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57049 тыс. руб.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Удельный вес просроченной задолженности в общем объеме задолженности составляет 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>95,6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 % (на 01.09.2018- </w:t>
      </w:r>
      <w:r w:rsidR="00137147">
        <w:rPr>
          <w:rFonts w:ascii="Times New Roman" w:eastAsia="Times New Roman" w:hAnsi="Times New Roman"/>
          <w:sz w:val="24"/>
          <w:szCs w:val="24"/>
          <w:lang w:eastAsia="ru-RU"/>
        </w:rPr>
        <w:t>96,1</w:t>
      </w:r>
      <w:r w:rsidR="00137147" w:rsidRPr="00137147">
        <w:rPr>
          <w:rFonts w:ascii="Times New Roman" w:eastAsia="Times New Roman" w:hAnsi="Times New Roman"/>
          <w:sz w:val="24"/>
          <w:szCs w:val="24"/>
          <w:lang w:eastAsia="ru-RU"/>
        </w:rPr>
        <w:t xml:space="preserve"> %).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Дебиторская задолженность на 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01.09.2019 – 26199 тыс. руб. (на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01.09.2018 – 25368 тыс. руб.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, в т.ч. просроченная –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 19862 тыс. руб. (на 01.09.2018-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19769 тыс. руб.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="00B51DE0" w:rsidRP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Просроченная задолженность в % к общей задолженности составляет 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>75,8</w:t>
      </w:r>
      <w:r w:rsidR="00B51DE0" w:rsidRPr="00B51DE0">
        <w:rPr>
          <w:rFonts w:ascii="Times New Roman" w:eastAsia="Times New Roman" w:hAnsi="Times New Roman"/>
          <w:sz w:val="24"/>
          <w:szCs w:val="24"/>
          <w:lang w:eastAsia="ru-RU"/>
        </w:rPr>
        <w:t>%.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>на 01.09.2019- 77,9%).</w:t>
      </w:r>
    </w:p>
    <w:p w:rsidR="00395A7E" w:rsidRPr="00395A7E" w:rsidRDefault="00395A7E" w:rsidP="00083D9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Задолженность покупателей и заказчиков за товары, работы и услуги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по крупным и средним организациям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>01.09.2019 составила 21950 тыс. руб. (на 01.09.2018-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21145 тыс. руб.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, в т.ч. просроченная – 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16428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(на 01.09.2018 -</w:t>
      </w:r>
      <w:r w:rsidR="00B51D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17336 тыс. руб.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="00A27C4A" w:rsidRP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Удельный вес </w:t>
      </w:r>
      <w:r w:rsidR="00A27C4A" w:rsidRPr="00A27C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просроченной задолженности в общем объеме задолженности составляет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74,8</w:t>
      </w:r>
      <w:r w:rsidR="00A27C4A" w:rsidRP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 % (на 01.09.2018-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82,0</w:t>
      </w:r>
      <w:r w:rsidR="00A27C4A" w:rsidRP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 %).</w:t>
      </w:r>
    </w:p>
    <w:p w:rsidR="00395A7E" w:rsidRDefault="00395A7E" w:rsidP="00083D97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Оборот крупных и средних предприятий за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9 мес. 2019 года составил 175683,6 тыс. руб.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99,4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% к уровню соответствующего периода 201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Прогнозируется дальнейший рост оборота крупных и средних предприятий, в основном по виду деятельности «Торговля оптовая и розничная, ремонт автотранспортных средств и мотоциклов». Динамика оборота наглядно представлена на рисунке.</w:t>
      </w:r>
    </w:p>
    <w:p w:rsidR="00083D97" w:rsidRPr="00395A7E" w:rsidRDefault="00083D97" w:rsidP="00083D97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A7E" w:rsidRPr="00395A7E" w:rsidRDefault="006D5C60" w:rsidP="00083D97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08040" cy="2377440"/>
            <wp:effectExtent l="0" t="0" r="0" b="0"/>
            <wp:docPr id="10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95A7E" w:rsidRDefault="00395A7E" w:rsidP="00083D9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За 9 месяцев 201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крупными и средними предприятиями отгружено товаров собственного производства, выполнено работ и услуг собственными силами –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27481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(или 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96,3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% к уровню соответствующего периода 201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года). К концу 201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планируется выравнивание значения показателя до уровня 201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A27C4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95A7E">
        <w:rPr>
          <w:rFonts w:ascii="Times New Roman" w:eastAsia="Times New Roman" w:hAnsi="Times New Roman"/>
          <w:sz w:val="24"/>
          <w:szCs w:val="24"/>
          <w:lang w:eastAsia="ru-RU"/>
        </w:rPr>
        <w:t>Динамика показателя наглядно представлена на рисунке.</w:t>
      </w:r>
    </w:p>
    <w:p w:rsidR="00395A7E" w:rsidRDefault="006D5C60" w:rsidP="00395A7E">
      <w:pPr>
        <w:tabs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02303" cy="2178657"/>
            <wp:effectExtent l="0" t="0" r="22225" b="12700"/>
            <wp:docPr id="11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B66C7" w:rsidRPr="00395A7E" w:rsidRDefault="00CB66C7" w:rsidP="00395A7E">
      <w:pPr>
        <w:tabs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A7E" w:rsidRPr="00395A7E" w:rsidRDefault="00395A7E" w:rsidP="00395A7E">
      <w:pPr>
        <w:keepNext/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95A7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СЕЛЬСКОЕ ХОЗЯЙСТВО</w:t>
      </w:r>
    </w:p>
    <w:p w:rsidR="00CB66C7" w:rsidRPr="00CB66C7" w:rsidRDefault="00CB66C7" w:rsidP="00CB66C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Сельское хозяйство в Фировском районе представлено колхозом «Восход» (ведёт производственную деятельность) и личными подсобными хозяйствами.</w:t>
      </w:r>
    </w:p>
    <w:p w:rsidR="00CB66C7" w:rsidRPr="00CB66C7" w:rsidRDefault="00CB66C7" w:rsidP="00CB66C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 xml:space="preserve">На 01.10.2019 поголовье крупного рогатого скота в колхозе «Восход»  составило 221 голов (104% к уровню соответствующего периода 2018 года). Поголовье коров по сравнению с аналогичным периодом 2018 года увеличилось на 11% и составило 175 голов (9 мес. 2018 г. – 157 голов). Надой на одну корову составил 1768 кг (125% к уровню соответствующего периода 2018 года). Если по состоянию на 01.10.2018 валовое производство молока составляло 221 т, то увеличение поголовья коров и надоя за  9 месяцев 2019 года способствовало росту валового производства молока до 299 т (темп роста – 135,3%). </w:t>
      </w:r>
    </w:p>
    <w:p w:rsidR="00CB66C7" w:rsidRPr="00CB66C7" w:rsidRDefault="00CB66C7" w:rsidP="00CB66C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Реализовано продукции собственного производства: мясо крупного рогатого скота (в живом весе) – 9,3т (127% к уровню прошлого года), молока – 259 т (131% к уровню 2018 года). </w:t>
      </w:r>
    </w:p>
    <w:p w:rsidR="00CB66C7" w:rsidRPr="00CB66C7" w:rsidRDefault="00CB66C7" w:rsidP="00CB66C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 xml:space="preserve">В 2019 году в колхозе «Восход» заготовлено кормов: сена – 573 т и сенажа – 330 т. </w:t>
      </w:r>
    </w:p>
    <w:p w:rsidR="00CB66C7" w:rsidRPr="00CB66C7" w:rsidRDefault="00CB66C7" w:rsidP="00CB66C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За 9 месяцев 2019 года колхоз сработал с прибылью, которая составила 540 тыс. руб.</w:t>
      </w:r>
    </w:p>
    <w:p w:rsidR="00CB66C7" w:rsidRPr="00CB66C7" w:rsidRDefault="00CB66C7" w:rsidP="00CB66C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 xml:space="preserve">Ввод в оборот земель сельскохозяйственного назначения за 2019 год не производился.  </w:t>
      </w:r>
    </w:p>
    <w:p w:rsidR="00CB66C7" w:rsidRPr="00CB66C7" w:rsidRDefault="00CB66C7" w:rsidP="00CB66C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За истекший период 2019 года выпускники учебных заведений в сельскохозяйственные организации района не трудоустроены.</w:t>
      </w:r>
    </w:p>
    <w:p w:rsidR="00083D97" w:rsidRDefault="00CB66C7" w:rsidP="00CB66C7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Отсутствие финансирования негативно сказывается на сельском хозяйстве района. Нет возможности обновлять машинный парк, производственное оборудование. Существуют трудности со сбытом продукции. Серьёзной проблемой остаётся нехватка кадров. Сохраняется потребность в молодых специалистах, представителях рабочих профессий.</w:t>
      </w:r>
    </w:p>
    <w:p w:rsidR="00083D97" w:rsidRPr="002E44CE" w:rsidRDefault="00083D97" w:rsidP="00083D97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E44CE">
        <w:rPr>
          <w:rFonts w:ascii="Times New Roman" w:hAnsi="Times New Roman"/>
          <w:b/>
          <w:sz w:val="24"/>
          <w:szCs w:val="24"/>
          <w:u w:val="single"/>
        </w:rPr>
        <w:t>СОЦИАЛЬНАЯ ЗАЩИТА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Сфера социальной защиты населения в Фировском районе представлена двумя учреждениями:</w:t>
      </w:r>
    </w:p>
    <w:p w:rsidR="00CB66C7" w:rsidRPr="00CB66C7" w:rsidRDefault="00CB66C7" w:rsidP="00CB66C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ГКУ ТО «Центр социальной поддержки населения» Фировского района Тверской области (далее – ГКУ ТО «ЦСПН» Фировского района Тверской области).</w:t>
      </w:r>
    </w:p>
    <w:p w:rsidR="00CB66C7" w:rsidRPr="00CB66C7" w:rsidRDefault="00CB66C7" w:rsidP="00CB66C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ГБУ «Комплексный центр социального обслуживания населения» Фировского района (далее ГБУ «КЦСОН» Фировского района).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Основное направление деятельности органов социальной защиты – социальная поддержка инвалидов, участников Великой Отечественной войны, обеспечение прав и законных интересов малообеспеченных и социально незащищенных слоёв населения.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Общая сумма социальных выплат за 9 месяцев 2019 года составила  38600,4 тыс. руб. (за аналогичный период 2018 года – 38606,9 тыс. руб.).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За 9 месяцев 2019 года выплачены детские пособия в общей сумме 1754,5 тыс. руб. 472 получателям.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По состоянию на 01.10.2019 870 получателям выплачены льготы на жилищно-коммунальные услуги в общей сумме 4363,2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На территории Фировского района проживает 56 многодетных семей (в т.ч. с тремя детьми – 46, с четырьмя детьми – 9, с пятью детьми - 1). За 9 месяцев 2019 года на поддержку многодетных семей из областного бюджета направлено 793,3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Выплата единовременного пособия неработающим гражданам на рождение ребенка – одно из направлений работы органов социальной защиты. За истекший период 2019 года такое пособие получили 8 граждан, общая сумма выплат – 137 тыс. руб.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1601,6 тыс. руб. направлено на выплату пособия по уходу за ребенком 27 гражданам. Выплаты при рождении 3-го ребенка назначены 56 жителям Фировского района в общем объёме 4658,4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За 9 месяцев 2019 года выдано 9 свидетельств на материнский (семейный) капитал на третьего и последующего ребёнка, которые родились после 01.01.2012, общая сумма реализованных свидетельств составила 605,4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На содержание 13 детей, находящихся под опекой и попечительством, за 9 месяцев 2019 года выплачено 2180,8 тыс. руб., 27 приемным родителям выплачена заработная плата в общей сумме 1482,9 тыс. руб.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За истекший период 2019 года на организацию оздоровления детей, находящихся в трудной жизненной ситуации, направлено 476,7 тыс. руб. В загородных оздоровительных лагерях смогли отдохнуть 12 детей, в пришкольных оздоровительных лагерях – 193 ребёнка.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По состоянию на 01.10.2019 3 человека получили звание «Ветеран труда», 14 человек – звание «Ветеран труда Тверской области».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В рамках финансовой поддержки населения с почетным званием, а также отдельных категорий граждан, за рассматриваемый период 2019 года осуществлены ежемесячные денежные выплаты: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ветеранам труда (527 получателей, 3437,0 тыс. руб.),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lastRenderedPageBreak/>
        <w:t>- ветеранам труда Тверской области (410 получателей, 2648,4 тыс. руб.),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труженикам тыла (66 получателей, 526,3 тыс. руб.),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ветеранам Великой Отечественной войны (6 получателей, 21,2 тыс. руб.),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- реабилитированным и репрессированным гражданам (5 получателей, 59,6 тыс. руб.),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- Почетным донорам (16 получателей, 226,3 тыс. руб.),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гражданам, удостоенным наград Тверской области (16 получателей, 198,8 тыс. руб.).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Компенсация на оплату жилья, коммунальных услуг и приобретение топлива педагогическим работникам, проживающим и работающим в сельской местности, по состоянию на 01.10.2019 выплачена 107 гражданам, общая сумма выплат составила 1540,5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 xml:space="preserve">За 9 месяцев 2019 года 198 специалистов, проживающих и работающих в сельской местности, получили ежемесячную выплату на оплату жилья и коммунальных услуг в общей сумме 868,4 тыс. руб.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Государственная социальная помощь в сумме 50,3 тыс. руб. оказана 2 ветеранам боевых действий; 1 семья погибшего военнослужащего получила данную помощь в размере 16,8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Социальная поддержка семей с детьми-инвалидами </w:t>
      </w:r>
      <w:r w:rsidRPr="00CB66C7">
        <w:rPr>
          <w:rFonts w:ascii="Times New Roman" w:eastAsiaTheme="minorHAnsi" w:hAnsi="Times New Roman"/>
          <w:sz w:val="24"/>
          <w:szCs w:val="24"/>
        </w:rPr>
        <w:t xml:space="preserve">в целях обеспечения максимально возможного развития таких детей в условиях семейного воспитания, их социализации, подготовки к самостоятельной жизни и интеграции в общество </w:t>
      </w: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– одно из приоритетных направлений деятельности системы социальной защиты. За 9 месяцев 2019 года в Фировском районе 11 семей, воспитывающих детей-инвалидов, получили социальную помощь от государства в общей сумме 82,2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За истекший период 2019 года адресную социальную помощь получили 291 человек. Общая сумма денежных средств составила 1163,2 тыс. руб., из них: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пособие по нуждаемости – 19,8 тыс. руб.;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пособие на помощь после пожаров – 16,5 тыс. руб.;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на проезд пенсионеров – 60,0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На погребение неработающих граждан по состоянию на 01.10.2019 направлено 130,1 тыс. руб.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За 9 месяцев 2019 года реализовано 63 единых социальных проездных  билета, 38 студентов получили компенсацию на оплату проезда до места учебы и обратно (общая сумма 147,8 тыс. руб.). Материальная помощь в итоговой сумме 36,0 тыс. руб. на оплату проезда в женскую консультацию была оказана 30 беременным женщинам.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В преддверии начала 2019-2020 учебного года 75 семьям оказана помощь в рамках акции «Помоги собраться ребенку в школу». </w:t>
      </w:r>
    </w:p>
    <w:p w:rsidR="00CB66C7" w:rsidRPr="00CB66C7" w:rsidRDefault="00CB66C7" w:rsidP="00CB66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В ГБУ «КЦСОН» Фировского района  работают 4 отделения: отделение социальной помощи на дому, отделение срочной социальной помощи, отделение по работе с семьей и детьми и стационарное отделение для престарелых и инвалидов, открыт пункт проката предметов первой необходимости для детей первых трех лет жизни из молодых и малообеспеченных семей. По состоянию на 01.10.2019 численность работников учреждения составила 62 человека.</w:t>
      </w:r>
    </w:p>
    <w:p w:rsidR="00CB66C7" w:rsidRPr="00CB66C7" w:rsidRDefault="00CB66C7" w:rsidP="00CB6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Стационарное отделение для престарелых и инвалидов ГБУ «КЦСОН Фировского района» рассчитано на 25 мест. По состоянию на 01.10.2019 в отделении проживает 23 человека. Численность работников – 26 человек.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Специалистами отделения по работе с семьей и детьми проводится огромная работа по реабилитации семей, попавших в кризисную ситуацию. Оказывается социальная, материальная, психологическая, консультативная помощь семьям. Оказывается содействие в лечении родителей от алкогольной зависимости.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>За 9 месяцев 2019 года мобильной бригадой ГБУ «КЦСОН Фировского района» обследовано 796 граждан, услугой социального автомобиля воспользовались 264 человека, услугой социального сопровождения – 27 семей, социальное обслуживание на дому получили 59 граждан пожилого возраста и инвалидов.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t xml:space="preserve">Сотрудники ГКУ ТО «ЦСПН» Фировского района Тверской области и ГБУ «КЦСОН» Фировского района в своей работе содействуют  развитию и укреплению социального здоровья и благополучия семей, имеющих несовершеннолетних детей, улучшая социально-экономические </w:t>
      </w:r>
      <w:r w:rsidRPr="00CB66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условия жизни, и, тем самым, осуществляя меры по реализации прав семьи и детей на защиту и помощь со стороны государства.</w:t>
      </w:r>
    </w:p>
    <w:p w:rsidR="00083D97" w:rsidRDefault="00083D97" w:rsidP="00083D97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83D97" w:rsidRPr="002E44CE" w:rsidRDefault="00083D97" w:rsidP="00083D97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E44CE">
        <w:rPr>
          <w:rFonts w:ascii="Times New Roman" w:hAnsi="Times New Roman"/>
          <w:b/>
          <w:sz w:val="24"/>
          <w:szCs w:val="24"/>
          <w:u w:val="single"/>
        </w:rPr>
        <w:t>ЗДРАВООХРАНЕНИЕ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Для охраны здоровья населения и медицинской профилактики в Фировском районе действует ГБУЗ «Фировская центральная районная больница» (далее – ГБУЗ «Фировская ЦРБ»), в состав участковой службы входит врачебная амбулатория в п. Великооктябрьский с дневным стационаром, 4 офиса врачей общей практики и 5 фельдшерско-акушерских пунктов.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По состоянию на 01.10.2019 в лечебной сети района работает 131 человек, из них: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врачи – 18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средние медицинские работники – 58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прочий персонал – 65 ед.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Во врачебной амбулатории п. Великооктябрьский работают 30 человек, из них: 3 врача, 7 средних медицинских работников, 10 прочих работников.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Годовой план повышения квалификации и сертификации медицинских работников ежегодно утверждается главным врачом. Медицинский персонал своевременно проходит повышение квалификации и необходимую переподготовку. За 9 месяцев 2019 года обучение прошёл 1 медицинский работник.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Дефицит медицинских кадров – одна из основных проблем практически всех учреждений здравоохранения сельских районов и малых городов. По состоянию на 01.10.2019 в ГБУЗ «Фировская ЦРБ» имеется следующая потребность в специалистах: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-врач-хирург – 1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врач-эндоскопист -1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врач-фтизиатр – 1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врач-терапевт терапевтического отделения – 1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врач-рентгенолог – 1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врач-офтальмолог – 1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-врач-педиатр детского отделения – 1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-сестринское дело (медицинские сестры) – 6 ед.;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- лечебное дело (фельдшера) – 3 ед.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Среднемесячная заработная плата в системе здравоохранения за 9 месяцев 2019 года составила 22080,0 тыс. руб., в т.ч.: врачей – 46740,0 тыс. руб., средних медицинских работников – 20280,0 тыс. руб. По состоянию на 01.01.2020 планируется увеличение среднемесячной заработной платы врачей до 48805,0 тыс. руб., среднего медицинского персонала – до 21982,0 тыс. руб. 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Динамика среднемесячной заработной платы медицинских работников Фировского района наглядно представлена на рисунке:</w:t>
      </w:r>
    </w:p>
    <w:p w:rsidR="00083D97" w:rsidRPr="00083D97" w:rsidRDefault="00083D97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3D97" w:rsidRPr="00083D97" w:rsidRDefault="00CB66C7" w:rsidP="00083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4DEE">
        <w:rPr>
          <w:rFonts w:ascii="Times New Roman" w:hAnsi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68295348" wp14:editId="146CF269">
            <wp:extent cx="6265628" cy="3204375"/>
            <wp:effectExtent l="0" t="0" r="20955" b="1524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83D97" w:rsidRDefault="00083D97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По состоянию на 01.10.2019 коечный фонд ГБУЗ «Фировская ЦРБ» насчитывает 37 </w:t>
      </w:r>
      <w:proofErr w:type="gramStart"/>
      <w:r w:rsidRPr="00CB66C7">
        <w:rPr>
          <w:rFonts w:ascii="Times New Roman" w:eastAsiaTheme="minorHAnsi" w:hAnsi="Times New Roman"/>
          <w:sz w:val="24"/>
          <w:szCs w:val="24"/>
        </w:rPr>
        <w:t>круглосуточных</w:t>
      </w:r>
      <w:proofErr w:type="gramEnd"/>
      <w:r w:rsidRPr="00CB66C7">
        <w:rPr>
          <w:rFonts w:ascii="Times New Roman" w:eastAsiaTheme="minorHAnsi" w:hAnsi="Times New Roman"/>
          <w:sz w:val="24"/>
          <w:szCs w:val="24"/>
        </w:rPr>
        <w:t xml:space="preserve"> и 34 дневных койки. Врачебная амбулатория в п. Великооктябрьский имеет в своем составе 15 коек дневного стационара.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Диспансеризация – комплекс мероприятий, включающий в себя профилактический медицинский осмотр и дополнительные методы обследований, направленные на выявление хронических неинфекционных заболеваний, а также риска их развития.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С 2013 года диспансеризация включена в программу государственных гарантий оказания гражданам бесплатной медицинской помощи, и любой россиянин по полису ОМС может по своему желанию пройти бесплатное обследование в поликлинике.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За 9 месяцев 2019 года в Фировском районе диспансеризацией охвачено 1653 человека, в т.ч. детей дошкольного возраста – 236 чел., школьников – 428 чел., взрослого населения – 989 чел. До конца 2019 года планируется увеличить количество граждан, прошедших диспансеризацию, до 1930 человек.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 xml:space="preserve">Количество выездов скорой медицинской помощи за отчетный период составило 1718. </w:t>
      </w:r>
    </w:p>
    <w:p w:rsidR="00295E8E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B66C7">
        <w:rPr>
          <w:rFonts w:ascii="Times New Roman" w:eastAsiaTheme="minorHAnsi" w:hAnsi="Times New Roman"/>
          <w:sz w:val="24"/>
          <w:szCs w:val="24"/>
        </w:rPr>
        <w:t>За 9 месяцев 201</w:t>
      </w:r>
      <w:r w:rsidR="00F40333">
        <w:rPr>
          <w:rFonts w:ascii="Times New Roman" w:eastAsiaTheme="minorHAnsi" w:hAnsi="Times New Roman"/>
          <w:sz w:val="24"/>
          <w:szCs w:val="24"/>
        </w:rPr>
        <w:t>9</w:t>
      </w:r>
      <w:r w:rsidRPr="00CB66C7">
        <w:rPr>
          <w:rFonts w:ascii="Times New Roman" w:eastAsiaTheme="minorHAnsi" w:hAnsi="Times New Roman"/>
          <w:sz w:val="24"/>
          <w:szCs w:val="24"/>
        </w:rPr>
        <w:t xml:space="preserve"> года произведено расходование денежных средств в сумме </w:t>
      </w:r>
      <w:r w:rsidR="00F40333">
        <w:rPr>
          <w:rFonts w:ascii="Times New Roman" w:eastAsiaTheme="minorHAnsi" w:hAnsi="Times New Roman"/>
          <w:sz w:val="24"/>
          <w:szCs w:val="24"/>
        </w:rPr>
        <w:t xml:space="preserve">258,7 </w:t>
      </w:r>
      <w:r w:rsidR="00F40333" w:rsidRPr="00F40333">
        <w:rPr>
          <w:rFonts w:ascii="Times New Roman" w:eastAsiaTheme="minorHAnsi" w:hAnsi="Times New Roman"/>
          <w:sz w:val="24"/>
          <w:szCs w:val="24"/>
        </w:rPr>
        <w:t>тыс.</w:t>
      </w:r>
      <w:r w:rsidR="00F40333">
        <w:rPr>
          <w:rFonts w:ascii="Times New Roman" w:eastAsiaTheme="minorHAnsi" w:hAnsi="Times New Roman"/>
          <w:sz w:val="24"/>
          <w:szCs w:val="24"/>
        </w:rPr>
        <w:t xml:space="preserve"> </w:t>
      </w:r>
      <w:r w:rsidR="00F40333" w:rsidRPr="00F40333">
        <w:rPr>
          <w:rFonts w:ascii="Times New Roman" w:eastAsiaTheme="minorHAnsi" w:hAnsi="Times New Roman"/>
          <w:sz w:val="24"/>
          <w:szCs w:val="24"/>
        </w:rPr>
        <w:t>руб.</w:t>
      </w:r>
      <w:r w:rsidR="00F40333">
        <w:rPr>
          <w:rFonts w:ascii="Times New Roman" w:eastAsiaTheme="minorHAnsi" w:hAnsi="Times New Roman"/>
          <w:sz w:val="24"/>
          <w:szCs w:val="24"/>
        </w:rPr>
        <w:t xml:space="preserve"> (в т. ч. </w:t>
      </w:r>
      <w:r w:rsidR="00F40333" w:rsidRPr="00F40333">
        <w:rPr>
          <w:rFonts w:ascii="Times New Roman" w:eastAsiaTheme="minorHAnsi" w:hAnsi="Times New Roman"/>
          <w:sz w:val="24"/>
          <w:szCs w:val="24"/>
        </w:rPr>
        <w:t>ремонт кровли офиса ВОП п.</w:t>
      </w:r>
      <w:r w:rsidR="00F40333">
        <w:rPr>
          <w:rFonts w:ascii="Times New Roman" w:eastAsiaTheme="minorHAnsi" w:hAnsi="Times New Roman"/>
          <w:sz w:val="24"/>
          <w:szCs w:val="24"/>
        </w:rPr>
        <w:t xml:space="preserve"> </w:t>
      </w:r>
      <w:r w:rsidR="00F40333" w:rsidRPr="00F40333">
        <w:rPr>
          <w:rFonts w:ascii="Times New Roman" w:eastAsiaTheme="minorHAnsi" w:hAnsi="Times New Roman"/>
          <w:sz w:val="24"/>
          <w:szCs w:val="24"/>
        </w:rPr>
        <w:t>Сосновка</w:t>
      </w:r>
      <w:r w:rsidR="00F40333">
        <w:rPr>
          <w:rFonts w:ascii="Times New Roman" w:eastAsiaTheme="minorHAnsi" w:hAnsi="Times New Roman"/>
          <w:sz w:val="24"/>
          <w:szCs w:val="24"/>
        </w:rPr>
        <w:t>, прочи</w:t>
      </w:r>
      <w:r w:rsidR="00F40333" w:rsidRPr="00F40333">
        <w:rPr>
          <w:rFonts w:ascii="Times New Roman" w:eastAsiaTheme="minorHAnsi" w:hAnsi="Times New Roman"/>
          <w:sz w:val="24"/>
          <w:szCs w:val="24"/>
        </w:rPr>
        <w:t>е</w:t>
      </w:r>
      <w:r w:rsidR="00F40333">
        <w:rPr>
          <w:rFonts w:ascii="Times New Roman" w:eastAsiaTheme="minorHAnsi" w:hAnsi="Times New Roman"/>
          <w:sz w:val="24"/>
          <w:szCs w:val="24"/>
        </w:rPr>
        <w:t xml:space="preserve"> приобретения</w:t>
      </w:r>
      <w:r w:rsidR="00F40333" w:rsidRPr="00F40333">
        <w:rPr>
          <w:rFonts w:ascii="Times New Roman" w:eastAsiaTheme="minorHAnsi" w:hAnsi="Times New Roman"/>
          <w:sz w:val="24"/>
          <w:szCs w:val="24"/>
        </w:rPr>
        <w:t xml:space="preserve"> 300тыс</w:t>
      </w:r>
      <w:proofErr w:type="gramStart"/>
      <w:r w:rsidR="00F40333" w:rsidRPr="00F4033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="00F40333" w:rsidRPr="00F40333">
        <w:rPr>
          <w:rFonts w:ascii="Times New Roman" w:eastAsiaTheme="minorHAnsi" w:hAnsi="Times New Roman"/>
          <w:sz w:val="24"/>
          <w:szCs w:val="24"/>
        </w:rPr>
        <w:t>уб.</w:t>
      </w:r>
      <w:r w:rsidRPr="00CB66C7">
        <w:rPr>
          <w:rFonts w:ascii="Times New Roman" w:eastAsiaTheme="minorHAnsi" w:hAnsi="Times New Roman"/>
          <w:sz w:val="24"/>
          <w:szCs w:val="24"/>
        </w:rPr>
        <w:t>.</w:t>
      </w:r>
      <w:r w:rsidR="00295E8E" w:rsidRPr="00295E8E">
        <w:rPr>
          <w:rFonts w:ascii="Times New Roman" w:eastAsiaTheme="minorHAnsi" w:hAnsi="Times New Roman"/>
          <w:sz w:val="24"/>
          <w:szCs w:val="24"/>
        </w:rPr>
        <w:t xml:space="preserve"> В стадии завершения работы по ремонту врачебной амбулатории в пгт. </w:t>
      </w:r>
      <w:r w:rsidR="00295E8E">
        <w:rPr>
          <w:rFonts w:ascii="Times New Roman" w:eastAsiaTheme="minorHAnsi" w:hAnsi="Times New Roman"/>
          <w:sz w:val="24"/>
          <w:szCs w:val="24"/>
        </w:rPr>
        <w:t>Великооктябрьский (</w:t>
      </w:r>
      <w:r w:rsidR="00295E8E" w:rsidRPr="00295E8E">
        <w:rPr>
          <w:rFonts w:ascii="Times New Roman" w:eastAsiaTheme="minorHAnsi" w:hAnsi="Times New Roman"/>
          <w:sz w:val="24"/>
          <w:szCs w:val="24"/>
        </w:rPr>
        <w:t>2294,8 тыс. руб.), работы по капитальному ремонту по замене лифта в здании стационара</w:t>
      </w:r>
      <w:r w:rsidR="00295E8E">
        <w:rPr>
          <w:rFonts w:ascii="Times New Roman" w:eastAsiaTheme="minorHAnsi" w:hAnsi="Times New Roman"/>
          <w:sz w:val="24"/>
          <w:szCs w:val="24"/>
        </w:rPr>
        <w:t xml:space="preserve"> ГБУЗ Фировская ЦРБ(1928,5 тыс. руб.).</w:t>
      </w:r>
    </w:p>
    <w:p w:rsidR="00CB66C7" w:rsidRPr="00CB66C7" w:rsidRDefault="00CB66C7" w:rsidP="00CB66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52FE5">
        <w:rPr>
          <w:rFonts w:ascii="Times New Roman" w:eastAsiaTheme="minorHAnsi" w:hAnsi="Times New Roman"/>
          <w:sz w:val="24"/>
          <w:szCs w:val="24"/>
        </w:rPr>
        <w:t>В октябре 2018 года для удобства пациентов в помещении ГБУЗ «Фировская ЦРБ» открыт аптечный пункт ОГУП «Фармация» в целях реализации лекарственных препаратов, которые отпускаются по рецептам. В планах – поставка и реализация платных лекарственных средств и изделий медицинского назначения.</w:t>
      </w:r>
    </w:p>
    <w:p w:rsidR="0072225C" w:rsidRPr="00994409" w:rsidRDefault="0072225C" w:rsidP="00083D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D97" w:rsidRPr="00994409" w:rsidRDefault="00083D97" w:rsidP="00083D9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9440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ОБРАЗОВАНИЕ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20AAA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 xml:space="preserve">Деятельность системы образования была </w:t>
      </w:r>
      <w:r w:rsidRPr="00120AAA">
        <w:rPr>
          <w:rFonts w:ascii="Times New Roman" w:eastAsiaTheme="minorEastAsia" w:hAnsi="Times New Roman"/>
          <w:sz w:val="24"/>
          <w:szCs w:val="24"/>
          <w:lang w:eastAsia="ru-RU"/>
        </w:rPr>
        <w:t>направлена на повышение качества и доступности предоставляемых образовательных услуг населению Фировского района на всех его уровнях за счет эффективного использования материально-технических, кадровых, финансовых и управленческих ресурсов.</w:t>
      </w:r>
    </w:p>
    <w:p w:rsidR="00120AAA" w:rsidRPr="00120AAA" w:rsidRDefault="00120AAA" w:rsidP="00120A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20AAA">
        <w:rPr>
          <w:rFonts w:ascii="Times New Roman" w:eastAsiaTheme="minorEastAsia" w:hAnsi="Times New Roman"/>
          <w:sz w:val="24"/>
          <w:szCs w:val="24"/>
          <w:lang w:eastAsia="ru-RU"/>
        </w:rPr>
        <w:t>В районе осуществляют деятельность 12 муниципальных образовательных организаций: 7 общеобразовательных организаций,  из них три средние школы, две  основные школы, две начальные школы, и  5 дошкольных образовательных организаций.</w:t>
      </w:r>
    </w:p>
    <w:p w:rsidR="00120AAA" w:rsidRPr="00120AAA" w:rsidRDefault="00120AAA" w:rsidP="00120A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52FE5">
        <w:rPr>
          <w:rFonts w:ascii="Times New Roman" w:eastAsiaTheme="minorEastAsia" w:hAnsi="Times New Roman"/>
          <w:sz w:val="24"/>
          <w:szCs w:val="24"/>
          <w:lang w:eastAsia="ru-RU"/>
        </w:rPr>
        <w:t xml:space="preserve">С 01.09.2019 закрыта дошкольная группа в МКОУ </w:t>
      </w:r>
      <w:proofErr w:type="gramStart"/>
      <w:r w:rsidRPr="00952FE5">
        <w:rPr>
          <w:rFonts w:ascii="Times New Roman" w:eastAsiaTheme="minorEastAsia" w:hAnsi="Times New Roman"/>
          <w:sz w:val="24"/>
          <w:szCs w:val="24"/>
          <w:lang w:eastAsia="ru-RU"/>
        </w:rPr>
        <w:t>Заводской</w:t>
      </w:r>
      <w:proofErr w:type="gramEnd"/>
      <w:r w:rsidRPr="00952FE5">
        <w:rPr>
          <w:rFonts w:ascii="Times New Roman" w:eastAsiaTheme="minorEastAsia" w:hAnsi="Times New Roman"/>
          <w:sz w:val="24"/>
          <w:szCs w:val="24"/>
          <w:lang w:eastAsia="ru-RU"/>
        </w:rPr>
        <w:t xml:space="preserve"> НОШ.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FF0000"/>
          <w:sz w:val="24"/>
          <w:szCs w:val="24"/>
          <w:lang w:eastAsia="ru-RU"/>
        </w:rPr>
      </w:pPr>
      <w:r w:rsidRPr="00120AAA">
        <w:rPr>
          <w:rFonts w:ascii="Times New Roman" w:eastAsia="Batang" w:hAnsi="Times New Roman"/>
          <w:sz w:val="24"/>
          <w:szCs w:val="24"/>
          <w:lang w:eastAsia="ru-RU"/>
        </w:rPr>
        <w:lastRenderedPageBreak/>
        <w:t>Списочный состав детей в дошкольных учреждениях на 01 января 2019 года составил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298 воспитанников (на 01.01.2018 – 310 чел.), охват – 65%, в том числе, в возрасте от 3 до 7 лет – 83,2%. </w:t>
      </w:r>
      <w:r w:rsidRPr="00120AAA">
        <w:rPr>
          <w:rFonts w:ascii="Times New Roman" w:eastAsia="Batang" w:hAnsi="Times New Roman"/>
          <w:sz w:val="24"/>
          <w:szCs w:val="24"/>
          <w:lang w:eastAsia="ru-RU"/>
        </w:rPr>
        <w:t xml:space="preserve">Заполняемость мест – 58,3%. </w:t>
      </w:r>
      <w:r w:rsidRPr="00120AAA">
        <w:rPr>
          <w:rFonts w:ascii="Times New Roman" w:eastAsiaTheme="minorEastAsia" w:hAnsi="Times New Roman"/>
          <w:sz w:val="24"/>
          <w:szCs w:val="24"/>
          <w:lang w:eastAsia="ru-RU"/>
        </w:rPr>
        <w:t>Очередность в дошкольные образовательные учреждения Фировского района отсутствует.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20AA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Муниципальная услуга по приему и зачислению детей в дошкольные образовательные организации предоставляется через автоматизированную информационную систему </w:t>
      </w:r>
      <w:r w:rsidRPr="00120AAA">
        <w:rPr>
          <w:rFonts w:ascii="Times New Roman" w:eastAsia="Batang" w:hAnsi="Times New Roman"/>
          <w:color w:val="000000"/>
          <w:sz w:val="24"/>
          <w:szCs w:val="24"/>
          <w:lang w:eastAsia="ru-RU"/>
        </w:rPr>
        <w:t>«Е-услуги. Образование»</w:t>
      </w:r>
      <w:r w:rsidRPr="00120AA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За 9 месяцев 2019 год данной услугой воспользовались </w:t>
      </w:r>
      <w:r w:rsidRPr="00120AAA">
        <w:rPr>
          <w:rFonts w:ascii="Times New Roman" w:hAnsi="Times New Roman"/>
          <w:sz w:val="24"/>
          <w:szCs w:val="24"/>
          <w:lang w:eastAsia="ru-RU"/>
        </w:rPr>
        <w:t>51</w:t>
      </w:r>
      <w:r w:rsidRPr="00120AA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чел.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20AAA">
        <w:rPr>
          <w:rFonts w:ascii="Times New Roman" w:eastAsiaTheme="minorEastAsia" w:hAnsi="Times New Roman"/>
          <w:sz w:val="24"/>
          <w:szCs w:val="24"/>
          <w:lang w:eastAsia="ru-RU"/>
        </w:rPr>
        <w:t>Деятельность по удовлетворению потребностей населения в получении услуг общего образования обеспечила полный охват детей программами общего среднего образования. В 2018-2019 учебном году  в 7 общеобразовательных организациях обучалось  820 учащихся, из них 30% детей  – в сельских школах, 70% – в школах поселков городского типа.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Theme="minorEastAsia" w:hAnsi="Times New Roman"/>
          <w:sz w:val="24"/>
          <w:szCs w:val="24"/>
          <w:lang w:eastAsia="ru-RU"/>
        </w:rPr>
        <w:t xml:space="preserve">26% учащихся (211 чел.) в районе живут в 20 сельских населенных пунктах, удаленных от общеобразовательных учреждений. </w:t>
      </w:r>
      <w:proofErr w:type="gramStart"/>
      <w:r w:rsidRPr="00120AAA">
        <w:rPr>
          <w:rFonts w:ascii="Times New Roman" w:hAnsi="Times New Roman"/>
          <w:sz w:val="24"/>
          <w:szCs w:val="24"/>
          <w:lang w:eastAsia="ru-RU"/>
        </w:rPr>
        <w:t>Ежедневный подвоз обучающихся к месту учебы и обратно организован по 18 школьным маршрутам, протяженность которых составляет 236,5 км.</w:t>
      </w:r>
      <w:proofErr w:type="gramEnd"/>
      <w:r w:rsidRPr="00120AAA">
        <w:rPr>
          <w:rFonts w:ascii="Times New Roman" w:hAnsi="Times New Roman"/>
          <w:sz w:val="24"/>
          <w:szCs w:val="24"/>
          <w:lang w:eastAsia="ru-RU"/>
        </w:rPr>
        <w:t xml:space="preserve"> Подвоз осуществляют 4 общеобразовательные организации: Великооктябрьская средняя, Рождественская средняя, Фировская средняя и Дубровская основная школы. Все 10 автобусов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оснащены навигационной системой ГЛОНАСС и </w:t>
      </w:r>
      <w:r w:rsidRPr="00120AAA">
        <w:rPr>
          <w:rFonts w:ascii="Times New Roman" w:hAnsi="Times New Roman"/>
          <w:sz w:val="24"/>
          <w:szCs w:val="24"/>
          <w:lang w:eastAsia="ru-RU"/>
        </w:rPr>
        <w:t xml:space="preserve">тахографами.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Начата постепенная замена школьных автобусов, срок службы которых составляет 10 и более лет. </w:t>
      </w:r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 xml:space="preserve">В 2018 году при поддержке Министерства образования Тверской области МБОУ Великооктябрьская СОШ и МБОУ Рождественская СОШ получили 2 </w:t>
      </w:r>
      <w:proofErr w:type="gramStart"/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>новых</w:t>
      </w:r>
      <w:proofErr w:type="gramEnd"/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 xml:space="preserve"> автобуса марки Луидор.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 xml:space="preserve">На 01.09.2019 все образовательные организации, осуществляющие подвоз обучающихся, проживающих в сельской местности, к месту обучения и обратно, имеют  лицензии на осуществление деятельности по перевозкам пассажиров и иных лиц автобусами.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>Численность детей с ОВЗ и детей-инвалидов в школах в 2018-2019 учебном году составила 80 чел., в том числе детей-инвалидов – 25 чел. Обучаются по адаптированным образовательным программам – 68 чел.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>В 2018-2019 учебном году по федеральным государственным образовательным стандартам для детей с ограниченными возможностями здоровья обучались 6 детей-инвалидов и детей с ОВЗ: в МБОУ Рождественской СОШ – 1 чел., МБОУ Великооктябрьской СОШ – 3 чел.,  МОУ Фировской СОШ – 2 чел.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0AAA">
        <w:rPr>
          <w:rFonts w:ascii="Times New Roman" w:hAnsi="Times New Roman"/>
          <w:sz w:val="24"/>
          <w:szCs w:val="24"/>
          <w:lang w:eastAsia="ru-RU"/>
        </w:rPr>
        <w:t>Результаты деятельности в сфере общего образования характеризуются оценкой образовательных достижений обучающихся. Одним из важных показателей качества образования в районе являются результаты государственной итоговой аттестации.</w:t>
      </w:r>
    </w:p>
    <w:p w:rsidR="00120AAA" w:rsidRPr="00120AAA" w:rsidRDefault="00120AAA" w:rsidP="00120A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 xml:space="preserve">В 2018-2019 учебном году функционировал пункт проведения экзаменов (далее – ППЭ) на базе МОУ Фировской СОШ. Для проведения ГИА ста двенадцати выпускников 9 и 11 классов в ППЭ </w:t>
      </w:r>
      <w:r w:rsidRPr="00120AAA">
        <w:rPr>
          <w:rFonts w:ascii="Times New Roman" w:eastAsia="Times New Roman" w:hAnsi="Times New Roman" w:cstheme="minorBidi"/>
          <w:sz w:val="24"/>
          <w:szCs w:val="26"/>
          <w:lang w:eastAsia="ru-RU" w:bidi="ru-RU"/>
        </w:rPr>
        <w:t xml:space="preserve">были задействованы </w:t>
      </w:r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>54 работника, в том числе, 40 организаторов и 13 общественных наблюдателей.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bCs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 w:cstheme="minorBidi"/>
          <w:sz w:val="24"/>
          <w:szCs w:val="26"/>
          <w:lang w:eastAsia="ru-RU"/>
        </w:rPr>
        <w:t>Процедура проведения единого государственного экзамена (далее – ЕГЭ) соответствовала всем требованиям, в ППЭ были созданы комфортные условия и благоприятный психологический микроклимат. О хорошем качестве организации ЕГЭ свидетельствует отсутствие апелляций по процедуре проведения экзаменов.</w:t>
      </w:r>
      <w:r w:rsidRPr="00120AAA">
        <w:rPr>
          <w:rFonts w:ascii="Times New Roman" w:eastAsia="Times New Roman" w:hAnsi="Times New Roman" w:cstheme="minorBidi"/>
          <w:bCs/>
          <w:sz w:val="24"/>
          <w:szCs w:val="26"/>
          <w:lang w:eastAsia="ru-RU"/>
        </w:rPr>
        <w:t xml:space="preserve"> С целью повышения объективности при проведении ЕГЭ и недопущения нарушений в 2019 году ППЭ был оборудован системами видеонаблюдения, использовался </w:t>
      </w:r>
      <w:proofErr w:type="spellStart"/>
      <w:r w:rsidRPr="00120AAA">
        <w:rPr>
          <w:rFonts w:ascii="Times New Roman" w:eastAsia="Times New Roman" w:hAnsi="Times New Roman" w:cstheme="minorBidi"/>
          <w:bCs/>
          <w:sz w:val="24"/>
          <w:szCs w:val="26"/>
          <w:lang w:eastAsia="ru-RU"/>
        </w:rPr>
        <w:t>металлодетектор</w:t>
      </w:r>
      <w:proofErr w:type="spellEnd"/>
      <w:r w:rsidRPr="00120AAA">
        <w:rPr>
          <w:rFonts w:ascii="Times New Roman" w:eastAsia="Times New Roman" w:hAnsi="Times New Roman" w:cstheme="minorBidi"/>
          <w:bCs/>
          <w:sz w:val="24"/>
          <w:szCs w:val="26"/>
          <w:lang w:eastAsia="ru-RU"/>
        </w:rPr>
        <w:t xml:space="preserve">.  В 2019 году для сдачи ЕГЭ была введена технология печати и обработки в пункте экзамена полного комплекта черно-белых экзаменационных материалов.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="Lucida Sans Unicode" w:hAnsi="Times New Roman" w:cstheme="minorBidi"/>
          <w:sz w:val="24"/>
          <w:szCs w:val="26"/>
          <w:lang w:eastAsia="ru-RU" w:bidi="en-US"/>
        </w:rPr>
        <w:t xml:space="preserve">Все выпускники одиннадцатых классов 2019 года прошли государственную итоговую аттестацию и получили аттестаты о среднем общем образовании, из них 1 чел. - </w:t>
      </w:r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 xml:space="preserve">аттестат особого образца и медаль «За особые успехи в учении»: </w:t>
      </w:r>
      <w:proofErr w:type="spellStart"/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>Костецкая</w:t>
      </w:r>
      <w:proofErr w:type="spellEnd"/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 xml:space="preserve"> Полина (МБОУ Великооктябрьская СОШ).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 xml:space="preserve">Одним из достижений прошедшего учебного года является повышение качества образования выпускников одиннадцатых классов по математике профильного уровня и русскому языку. Все выпускники показали освоение образовательных стандартов по предмету.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Выпускники показали хорошие знания на экзаменах по выбору. Средний тестовый балл выше среднего балла по региону по следующим предметам: география, химия, биология, литература, обществознание.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>89 выпускников 9-х классов проходили государственную итоговую аттестацию в форме основного государственного экзамена (74 чел.) и государственного выпускного экзамена (15 чел.).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 xml:space="preserve">В форме ОГЭ девятиклассники сдавали 4 экзамена: 2 </w:t>
      </w:r>
      <w:proofErr w:type="gramStart"/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>обязательных</w:t>
      </w:r>
      <w:proofErr w:type="gramEnd"/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 xml:space="preserve"> экзамена (русский язык, математика) и 2 – по выбору. 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proofErr w:type="gramStart"/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>По сравнению с прошлым годом уровень освоения образовательного стандарта по математике и русскому языку в 2019 году достиг 100%. Численность выпускников, сдавших экзамен на «4» и «5», по математике - 68%, русскому языку - 52%. Впервые за последние три года динамика среднего оценочного балла выпускников 9-х классов по русскому языку и математике – положительная, но ниже региональных показателей.</w:t>
      </w:r>
      <w:proofErr w:type="gramEnd"/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>Отмечается положительная динамика уровня освоения образовательного стандарта по выбранным выпускниками предметам за последние 3 года, в том числе, стабильные высокие результаты по географии.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>Получили аттестаты об основном общем образовании 89 выпускников, что составляет 100%, из них аттестаты с отличием – 1 чел.: Соловьева Екатерина (МБОУ Рождественская СОШ).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6"/>
          <w:lang w:eastAsia="ru-RU"/>
        </w:rPr>
        <w:t>2 выпускника (100%), которые обучались по адаптированной образовательной программе, сдали выпускной экзамен по технологии и получили свидетельства об образовании.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 w:cstheme="minorBidi"/>
          <w:bCs/>
          <w:sz w:val="24"/>
          <w:szCs w:val="26"/>
          <w:lang w:eastAsia="ru-RU"/>
        </w:rPr>
        <w:t xml:space="preserve">В целях </w:t>
      </w:r>
      <w:r w:rsidRPr="00120AAA">
        <w:rPr>
          <w:rFonts w:ascii="Times New Roman" w:eastAsia="Times New Roman" w:hAnsi="Times New Roman" w:cstheme="minorBidi"/>
          <w:sz w:val="24"/>
          <w:szCs w:val="26"/>
          <w:shd w:val="clear" w:color="auto" w:fill="FFFFFF"/>
          <w:lang w:eastAsia="ru-RU"/>
        </w:rPr>
        <w:t xml:space="preserve">наиболее эффективного взаимодействия отдела образования Администрации Фировского района с общественными объединениями, государственными и иными негосударственными некоммерческими организациями, осуществления общественного контроля, проведения независимой оценки качества образовательной деятельности, повышения гласности и прозрачности </w:t>
      </w:r>
      <w:proofErr w:type="gramStart"/>
      <w:r w:rsidRPr="00120AAA">
        <w:rPr>
          <w:rFonts w:ascii="Times New Roman" w:eastAsia="Times New Roman" w:hAnsi="Times New Roman" w:cstheme="minorBidi"/>
          <w:sz w:val="24"/>
          <w:szCs w:val="26"/>
          <w:shd w:val="clear" w:color="auto" w:fill="FFFFFF"/>
          <w:lang w:eastAsia="ru-RU"/>
        </w:rPr>
        <w:t>деятельности</w:t>
      </w:r>
      <w:proofErr w:type="gramEnd"/>
      <w:r w:rsidRPr="00120AAA">
        <w:rPr>
          <w:rFonts w:ascii="Times New Roman" w:eastAsia="Times New Roman" w:hAnsi="Times New Roman" w:cstheme="minorBidi"/>
          <w:sz w:val="24"/>
          <w:szCs w:val="26"/>
          <w:shd w:val="clear" w:color="auto" w:fill="FFFFFF"/>
          <w:lang w:eastAsia="ru-RU"/>
        </w:rPr>
        <w:t xml:space="preserve"> образовательных </w:t>
      </w:r>
      <w:r w:rsidRPr="00120AAA">
        <w:rPr>
          <w:rFonts w:ascii="Times New Roman" w:eastAsia="Times New Roman" w:hAnsi="Times New Roman" w:cstheme="minorBidi"/>
          <w:bCs/>
          <w:sz w:val="24"/>
          <w:szCs w:val="26"/>
          <w:lang w:eastAsia="ru-RU"/>
        </w:rPr>
        <w:t>создан Общественный совет при отделе образования Администрации Фировского района (далее – Общественный совет).</w:t>
      </w:r>
      <w:r w:rsidRPr="00120AAA">
        <w:rPr>
          <w:rFonts w:ascii="Times New Roman" w:eastAsia="Times New Roman" w:hAnsi="Times New Roman" w:cstheme="minorBidi"/>
          <w:sz w:val="24"/>
          <w:szCs w:val="26"/>
          <w:shd w:val="clear" w:color="auto" w:fill="FFFFFF"/>
          <w:lang w:eastAsia="ru-RU"/>
        </w:rPr>
        <w:t xml:space="preserve">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6"/>
          <w:lang w:eastAsia="ru-RU"/>
        </w:rPr>
        <w:t xml:space="preserve">В течение 2018-2019 учебного года проведено 4 заседания Общественного совета. </w:t>
      </w:r>
      <w:proofErr w:type="gramStart"/>
      <w:r w:rsidRPr="00120AAA">
        <w:rPr>
          <w:rFonts w:ascii="Times New Roman" w:eastAsia="Times New Roman" w:hAnsi="Times New Roman"/>
          <w:sz w:val="24"/>
          <w:szCs w:val="26"/>
          <w:lang w:eastAsia="ru-RU"/>
        </w:rPr>
        <w:t>Рассмотрены вопросы организации летней занятости детей и подростков в 2019 году, состояние антитеррористической защищенности, организации независимой оценки качества условий осуществления образовательной деятельности в 2018 и 2019 году годах,  повышения эффективности финансового обеспечения деятельности муниципальных образовательных организаций района, принципы формирования первых классов в общеобразовательных организациях Фировского района, поддержки общественных объединений и содействие общественным организациям в Фировском районе.</w:t>
      </w:r>
      <w:proofErr w:type="gramEnd"/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Theme="minorHAnsi" w:eastAsiaTheme="minorEastAsia" w:hAnsiTheme="minorHAnsi" w:cstheme="minorBidi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В  муниципальном туре Всероссийской олимпиады школьников приняли участие 187 учащихся 7-11 классов, победителями и призёрами  стали 22 чел. (12%). В региональном этапе олимпиады  по литературе  приняла участие ученица 10 класса МОУ Фировской СОШ  Иванова Елизавета.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Творческой средой для выявления одаренных детей является система дополнительного образования. Для удовлетворения разнообразных талантов и </w:t>
      </w:r>
      <w:proofErr w:type="gram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склонностей</w:t>
      </w:r>
      <w:proofErr w:type="gram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и реализации программ  дополнительного образования успешно осуществляли деятельность детско-юношеская спортивная школа, детская школа искусств, общеобразовательные организации через кружки и спортивные секции. Организация занятости детей дополнительным образованием решается путем взаимодействия школ с учреждениями дополнительного образования. </w:t>
      </w:r>
      <w:proofErr w:type="gramStart"/>
      <w:r w:rsidRPr="00120AAA">
        <w:rPr>
          <w:rFonts w:ascii="Times New Roman" w:eastAsia="Times New Roman" w:hAnsi="Times New Roman"/>
          <w:sz w:val="24"/>
          <w:szCs w:val="26"/>
          <w:lang w:eastAsia="ru-RU"/>
        </w:rPr>
        <w:t>На протяжении двух последних лет занятость обучающихся дополнительным образованием стабильна и составляет 75%, что соответствует региональным показателям плана мероприятий по увеличению охвата детей услугами дополнительного образования.</w:t>
      </w:r>
      <w:proofErr w:type="gramEnd"/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B050"/>
          <w:sz w:val="24"/>
          <w:szCs w:val="24"/>
          <w:lang w:eastAsia="ru-RU"/>
        </w:rPr>
      </w:pPr>
      <w:r w:rsidRPr="00120AAA">
        <w:rPr>
          <w:rFonts w:ascii="Times New Roman" w:eastAsiaTheme="minorEastAsia" w:hAnsi="Times New Roman"/>
          <w:sz w:val="24"/>
          <w:szCs w:val="24"/>
          <w:lang w:eastAsia="ru-RU"/>
        </w:rPr>
        <w:t xml:space="preserve">Сегодня важно не только сохранить данную систему, но и выстраивать деятельность образовательных организаций в новом содержательном качестве. В настоящее время существует проблема охвата детей старше 14 лет. В учреждениях дополнительного образования только 10% детей этого возраста осваивают программы. А между тем, для подростков получение дополнительного образования играет важную роль, ведь именно в этом возрасте происходит </w:t>
      </w:r>
      <w:r w:rsidRPr="00120AA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профессиональное самоопределение ребенка. Необходим акцент на новые направления: техническое творчество, информационные технологии, изобретательство.</w:t>
      </w:r>
      <w:r w:rsidRPr="00120AAA">
        <w:rPr>
          <w:rFonts w:ascii="Times New Roman" w:eastAsiaTheme="minorEastAsia" w:hAnsi="Times New Roman"/>
          <w:color w:val="00B050"/>
          <w:sz w:val="24"/>
          <w:szCs w:val="24"/>
          <w:lang w:eastAsia="ru-RU"/>
        </w:rPr>
        <w:t xml:space="preserve">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Духовно</w:t>
      </w:r>
      <w:r w:rsidRPr="00120AA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нравственное и патриотическое воспитание </w:t>
      </w:r>
      <w:r w:rsidRPr="00120AA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приоритетные направления деятельности образовательных организаций Фировского района.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В 2019 году заключены договора о сотрудничестве в сфере образовательной деятельности, духовно-нравственного и патриотического воспитания между образовательными организациями и местными религиозными организациями православных приходов. Предметом договора  является реализация плана совместных мероприятий. Успешно проведены: историческая конференция, посвящённая 700 </w:t>
      </w:r>
      <w:r w:rsidRPr="00120AA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– </w:t>
      </w:r>
      <w:proofErr w:type="spell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летию</w:t>
      </w:r>
      <w:proofErr w:type="spell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подвига святого благоверного князя Михаила Тверского и 650 </w:t>
      </w:r>
      <w:r w:rsidRPr="00120AA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– </w:t>
      </w:r>
      <w:proofErr w:type="spell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летию</w:t>
      </w:r>
      <w:proofErr w:type="spell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преставления святой благоверной княгини Анны </w:t>
      </w:r>
      <w:proofErr w:type="spell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Кашинской</w:t>
      </w:r>
      <w:proofErr w:type="spell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; муниципальный фестиваль «Пасхальный Благовест».</w:t>
      </w:r>
      <w:r w:rsidRPr="00120AAA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120AAA" w:rsidRPr="00120AAA" w:rsidRDefault="00120AAA" w:rsidP="00120A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Сегодня патриотическое воспитание подрастающего поколения – неотъемлемая часть духовно-нравственного воспитания детей и молодежи. </w:t>
      </w:r>
    </w:p>
    <w:p w:rsidR="00120AAA" w:rsidRPr="00120AAA" w:rsidRDefault="00120AAA" w:rsidP="00120A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В МОУ Фировской СОШ более 50 лет продолжает свою активную деятельность отряд «</w:t>
      </w:r>
      <w:proofErr w:type="gram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Юные</w:t>
      </w:r>
      <w:proofErr w:type="gram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карбышевцы</w:t>
      </w:r>
      <w:proofErr w:type="spell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», в его составе более 160 человек. В  Рождественской средней школе  кадетский класс МЧС «Юные спасатели» насчитывает 21 человек. В октябре 2017 года на территории района создано местное отделение (штаб) Всероссийского военно-патриотического общественного движения «</w:t>
      </w:r>
      <w:proofErr w:type="spell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Юнармия</w:t>
      </w:r>
      <w:proofErr w:type="spell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», организовано социальное партнерство с военным комиссариатом г. Вышний Волочек, Вышневолоцкого и Фировского районов, общественными организациями, учреждениями и организациями патриотической направленности в целях эффективной реализации совместных мероприятий.</w:t>
      </w:r>
      <w:r w:rsidRPr="00120AA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В МБОУ Великооктябрьской СОШ юнармейский отряд, сформированный в 2017 году, насчитывает 36 юнармейцев.</w:t>
      </w:r>
    </w:p>
    <w:p w:rsidR="00120AAA" w:rsidRPr="00120AAA" w:rsidRDefault="00120AAA" w:rsidP="00120A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На протяжении последних пяти лет военно-спортивная игра «Зарница» способствует реализации индивидуальных навыков школьников по начальной военной подготовке.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На базе МБОУ Дубровской ООШ продолжается проведение муниципального этапа Всероссийских соревнований «Президентские состязания».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В декабре 2018 года на базе МОУ Фировской СОШ обучающиеся 1- 4 классов состязались в муниципальных соревнованиях «Весёлые старты», а в конце декабря 2018 года во Дворце культуры п. Великооктябрьский состоялся районный новогодний бал-маскарад для старшеклассников школ, являющихся победителями  и призерами муниципального этапа Всероссийских олимпиад школьников, победителей муниципальных конкурсов образовательных</w:t>
      </w:r>
      <w:r w:rsidRPr="00120AA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организаций Фировского района.</w:t>
      </w:r>
      <w:proofErr w:type="gram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нем приняли участие более 100 человек.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На базе РМУК «Фировская МЦБ» состоялся муниципальный конкурс «Живая классика».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В апреле 2019 года прошли муниципальные соревнования: «Безопасное колесо», санитарных постов, победители приняли участие в региональном этапе конкурса в г. Твери.</w:t>
      </w:r>
    </w:p>
    <w:p w:rsidR="00120AAA" w:rsidRPr="00120AAA" w:rsidRDefault="00120AAA" w:rsidP="00120AAA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проводимые мероприятия дают возможность детям и родителям выбрать индивидуальную траекторию развития ребёнка, и каждому попробовать себя в новых видах деятельности и общении. </w:t>
      </w:r>
    </w:p>
    <w:p w:rsidR="00120AAA" w:rsidRPr="00120AAA" w:rsidRDefault="00120AAA" w:rsidP="00120AAA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Важными направлениями деятельности по сохранению и укреплению здоровья школьников, формированию основ здорового образа жизни являются организация горячего питания и организация отдыха и оздоровления детей. Охват горячим питанием составляет 92% обучающихся (752 чел.). Освобождены полностью от платы за горячее питание все учащиеся начальной школы. Расходы на эти цели осуществляются на условиях софинансирования из регионального и муниципального бюджетов.  </w:t>
      </w:r>
      <w:r w:rsidRPr="00BC700A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Главы Администрации Фировского района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установлены льготы учащимся, посещающим группы продленного дня. Средняя стоимость горячего завтрака (обеда) составляет 34 руб. Расходы муниципального и регионального  бюджетов  на  организацию  питания  учащихся в </w:t>
      </w:r>
      <w:r w:rsidRPr="00120A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2019 году составили </w:t>
      </w:r>
      <w:r w:rsidRPr="00120AA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20A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1393,7 тыс. руб., в том числе, муниципальный бюджет – 795,9 тыс. руб.</w:t>
      </w:r>
    </w:p>
    <w:p w:rsidR="00120AAA" w:rsidRPr="00120AAA" w:rsidRDefault="00120AAA" w:rsidP="00120AAA">
      <w:pPr>
        <w:tabs>
          <w:tab w:val="left" w:pos="9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Особое внимание при организации летней кампании 2019 года было уделено увеличению охвата детей 5-8 классов, что стало возможным при расширении профильности лагерей. </w:t>
      </w:r>
    </w:p>
    <w:p w:rsidR="00120AAA" w:rsidRPr="00120AAA" w:rsidRDefault="00120AAA" w:rsidP="00120A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Летом 2019 года работали следующие лагеря:</w:t>
      </w:r>
    </w:p>
    <w:p w:rsidR="00120AAA" w:rsidRPr="00120AAA" w:rsidRDefault="00120AAA" w:rsidP="00120AAA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Две профильные смены военно-спортивного лагеря «Патриот» с круглосуточным пребыванием на базе МБОУ Рождественской СОШ (отдохнули 68 человек). </w:t>
      </w:r>
    </w:p>
    <w:p w:rsidR="00120AAA" w:rsidRPr="00120AAA" w:rsidRDefault="00120AAA" w:rsidP="00120AAA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Профильная смена лагеря «Эрудит»,  </w:t>
      </w:r>
      <w:r w:rsidRPr="00120AA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тема смены -  «Думай! Пробуй! Твори!».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Это совместный проект отдела образования и педагогов из Великооктябрьской, Рождественской и Фировской средних школ (приняли участие 50 человек).</w:t>
      </w:r>
    </w:p>
    <w:p w:rsidR="00120AAA" w:rsidRPr="00120AAA" w:rsidRDefault="00120AAA" w:rsidP="00120AAA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Профильная смена лагеря актива старшеклассников (приняли участие 58 школьников). </w:t>
      </w:r>
    </w:p>
    <w:p w:rsidR="00120AAA" w:rsidRPr="00120AAA" w:rsidRDefault="00120AAA" w:rsidP="00120AAA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Две смены палаточного лагеря «21 век» (отдохнули 100 человек). </w:t>
      </w:r>
    </w:p>
    <w:p w:rsidR="00120AAA" w:rsidRPr="00120AAA" w:rsidRDefault="00120AAA" w:rsidP="00120A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20AAA">
        <w:rPr>
          <w:rFonts w:ascii="Times New Roman" w:eastAsia="Times New Roman" w:hAnsi="Times New Roman" w:cstheme="minorBidi"/>
          <w:sz w:val="24"/>
          <w:szCs w:val="24"/>
          <w:shd w:val="clear" w:color="auto" w:fill="FFFFFF"/>
          <w:lang w:eastAsia="ru-RU"/>
        </w:rPr>
        <w:t xml:space="preserve">Приобретены путевки в загородные оздоровительные лагеря для 14 детей. </w:t>
      </w:r>
      <w:proofErr w:type="gramStart"/>
      <w:r w:rsidRPr="00120AA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Трудоустроены</w:t>
      </w:r>
      <w:proofErr w:type="gramEnd"/>
      <w:r w:rsidRPr="00120AA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35 подростков.</w:t>
      </w:r>
    </w:p>
    <w:p w:rsidR="00120AAA" w:rsidRPr="00120AAA" w:rsidRDefault="00120AAA" w:rsidP="00120A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20A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июле 2019 года район и МБОУ Рождественская СОШ принимали областную летнюю экологическую школу «Академия леса», организуемую Станцией юных натуралистов Тверской области, при поддержке Администрации Фировского района и под эгидой Министерств лесного хозяйства и образования Тверской области.</w:t>
      </w:r>
      <w:r w:rsidRPr="00120AA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20AAA" w:rsidRPr="00120AAA" w:rsidRDefault="00120AAA" w:rsidP="00120AAA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Охват летним отдыхом составил 81% (859 чел.). 180</w:t>
      </w:r>
      <w:r w:rsidRPr="00120AAA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детей из семей с трудной жизненной ситуацией получили бесплатные путевки в лагеря с дневным пребыванием, лагеря труда и отдыха, загородные лагеря.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На организацию летней кампании израсходованы финансовые средства в размере 1274,6 тыс. руб., в том числе средства муниципального бюджета – 325,1 тыс. руб.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 средства субвенции областного бюджета в июле-августе 2019 года приобретены учебники на сумму 733985,92 руб. 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В общеобразовательных учреждениях Фировского района по состоянию на 01.01.2019 работают 112 педагогических работников, из них 90 чел. (80%) имеют педагогическое образование, в том числе, высшее – 43% (48 чел.), среднее  профессиональное – 37% (42 чел.). Имеют педагогический стаж 20 и более лет 71 чел.(63%). Численность педагогических работников в возрасте до 35 лет составляет только 14% (16 чел.).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В школах трудятся 39% педагогов  пенсионного возраста. Наиболее остро проблема «омоложения» кадров стоит в МОУ Фировской СОШ (48%) и МБОУ Новосельской ООШ (42%).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данным мониторинга отдела образования обучаются заочно в Тверском государственном университете и Торжокском педагогическом колледже 9 чел., которые получат профессиональное образование в 2019-2022 годах, из них по специальностям: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- «начальные классы» - 4 чел.;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- «дошкольное образование» - 2 чел.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В 2015-2017 годах на </w:t>
      </w:r>
      <w:proofErr w:type="gram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обучение по</w:t>
      </w:r>
      <w:proofErr w:type="gram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педагогическим специальностям с выплатой им муниципальных стипендий направлены четыре выпускника 9 классов. Заключены соглашения с ТГУ на целевое контрактное обучение 3-х выпускников 11-х классов, в том числе в 2017 году – 1 чел. Два педагогических работника приняты на работу в отчетном периоде и включены в программу по поддержке молодых специалистов с выплатами на период от двух и более лет.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На 2019-2020 учебный год имеется потребность в 11 педагогических кадрах: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- учитель истории (МБОУ Великооктябрьская СОШ, МОУ Фировская СОШ);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- учитель информатики (МБОУ Великооктябрьская СОШ, МБОУ Новосельская ООШ);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- учитель математики (МБОУ Дубровская ООШ);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- учитель русского языка и литературы (МБОУ Великооктябрьская СОШ, МБОУ Дубровская ООШ);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- учитель немецкого языка (МБОУ Дубровская ООШ, МБОУ Новосельская ООШ);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- учитель биологии (МБОУ Новосельская ООШ);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- учитель технологии (МОУ Фировская СОШ);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того, существует проблема не только в привлечении молодых выпускников педвузов и </w:t>
      </w:r>
      <w:proofErr w:type="spell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педколледжей</w:t>
      </w:r>
      <w:proofErr w:type="spell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в школу, но и закреплении (удержании) молодых учителей в системе образования. Необходимы дополнительные меры поддержки молодых учителей (финансовые и социальные). 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Перечень мероприятий («дорожная карта») на 2019-2021 годы позволит создать условия для развития кадрового потенциала, привлечь в общеобразовательные учреждения района молодых квалифицированных специалистов и будет способствовать их сохранению.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За  9 месяцев 2019 год повысили квалификацию в рамках курсовой подготовки  59 педагогов  образовательных организаций Фировского района.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По данным на 1 января 2019 года средняя заработная плата педагогических работников образовательных учреждений района по итогам 2018 года составила 22967,74 руб. (учителей – 23470,14 руб.), педагогических работников дошкольных учреждений – 20158,73 руб. Мониторинг заработной платы педагогов района продолжен в 2019 году.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Средняя заработная плата педагогов дополнительного образования в 2019 году в районе составит 23601,70 руб. (2018 год – 23602,18 руб.).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На подготовку к учебному году выделено 2 471,4 тыс. рублей, из них муниципальные   средства составляют 1 570,6 тыс. рублей, региональные средства – 600,8 тыс. рублей, спонсорские средства – 300 тыс. рублей (финансовые средства Русского фонда содействия образованию и науки на ремонт МБОУ Рождественской СОШ в рамках трехстороннего соглашения). 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В разрезе учреждений: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школы – 2 061,4 тыс. рублей, в том числе муниципальные средства – 1 160,6 тыс.  рублей; </w:t>
      </w:r>
    </w:p>
    <w:p w:rsidR="00120AAA" w:rsidRPr="00120AAA" w:rsidRDefault="00120AAA" w:rsidP="00120AAA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детские сады – 410 тыс. рублей (муниципальные средства).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Приоритетное направление в подготовке образовательных учреждений района</w:t>
      </w:r>
      <w:r w:rsidRPr="00120AAA">
        <w:rPr>
          <w:rFonts w:asciiTheme="minorHAnsi" w:eastAsiaTheme="minorEastAsia" w:hAnsiTheme="minorHAnsi" w:cstheme="minorBidi"/>
          <w:sz w:val="24"/>
          <w:szCs w:val="28"/>
          <w:lang w:eastAsia="ru-RU"/>
        </w:rPr>
        <w:t xml:space="preserve"> </w:t>
      </w: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к новому учебному году – устранение предписаний надзорных органов (</w:t>
      </w:r>
      <w:proofErr w:type="spellStart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Госпожнадзор</w:t>
      </w:r>
      <w:proofErr w:type="spellEnd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 и Роспотребнадзор). На эти цели израсходовано 1 214,8 тыс. рублей (составляет 61% от выделенных муниципальных средств).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С целью обеспечения пожарной безопасности в образовательных учреждениях района проведены следующие мероприятия: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пропитка огнезащитным составом деревянных конструкций сцены и кулис актового зала МБОУ Великооктябрьской СОШ, чердачных помещений МБОУ Жуковской НОШ;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установка свирели в дошкольной группе, тепловых извещателей  на пищеблоке в МБОУ Жуковской НОШ;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замеры сопротивления электропроводки и молниезащиты;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проверка и замена первичных средств пожаротушения;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установлены дополнительные датчики АПС в МДОУ детском саду «Ласточка».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Составлен перспективный план мероприятий по устранению замечаний, выявленных Госпожнадзором, на 2020 год и принят к исполнению. 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Во всех образовательных учреждениях имеется ограждение зданий, организована охран</w:t>
      </w:r>
      <w:proofErr w:type="gramStart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а ООО</w:t>
      </w:r>
      <w:proofErr w:type="gramEnd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 ЧОО «Легион-М» в трех средних школах (МБОУ Великооктябрьская СОШ, МОУ Фировская СОШ, МБОУ Рождественская СОШ) и трех детских садах (Великооктябрьский детский сад «Белочка», Фировский детский сад «Родничок», детский сад «Ласточка»), остальные 6 учреждений охраняются сторожами. Работает видеонаблюдение во всех образовательных организациях, приобретены дополнительные видеокамеры в МБОУ Великооктябрьской СОШ.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В целях обеспечения санитарно-эпидемиологического режима приобретены: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холодильники - в МОУ Фировскую СОШ и МБОУ Дубровскую ООШ;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производственные столы с металлическим покрытием – в МБОУ Дубровскую ООШ, МБОУ </w:t>
      </w:r>
      <w:proofErr w:type="spellStart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Новосельскую</w:t>
      </w:r>
      <w:proofErr w:type="spellEnd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 ООШ, МБОУ Жуковскую НОШ, моечные ванны – в МБОУ Дубровскую ООШ;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электроплиты – в МБОУ Великооктябрьскую СОШ и МОУ Фировскую СОШ;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водонагреватели – в МБОУ Дубровскую ООШ, МБОУ </w:t>
      </w:r>
      <w:proofErr w:type="spellStart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Новосельскую</w:t>
      </w:r>
      <w:proofErr w:type="spellEnd"/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 ООШ;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установлены теневой навес для дошкольников в МБОУ Дубровской ООШ, прогулочная веранда – МБДОУ детском саду «Родничок»;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выполнена замена контейнерной площадки в МБОУ Новосельской ООШ.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Мероприятия по проведению ремонтных работ при подготовке к новому учебному году в образовательных организациях: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 xml:space="preserve">- косметический ремонт школьных коридоров в МБОУ Рождественской СОШ;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капитальный ремонт в группе №2, косметический ремонт спальни группы №1, пищеблока, туалетных комнат, лестничных площадок МБОУ детского сада «Родничок»;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косметический ремонт спортивного зала МБОУ Великооктябрьской СОШ;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lastRenderedPageBreak/>
        <w:t>- косметический ремонт детской площадки в Жуковской НОШ, МБДОУ детского сада «Родничок»;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покраска пола в пищеблоке и ремонт веранды на прогулочной площадке МБДОУ детского сада «Ласточка».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косметический ремонт фасада здания, побелка потолка пищеблока, ремонт туалетных комнат и раздаточных в МБОУ детском саду «Колокольчик»;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8"/>
          <w:lang w:eastAsia="ru-RU"/>
        </w:rPr>
      </w:pPr>
      <w:r w:rsidRPr="00120AAA">
        <w:rPr>
          <w:rFonts w:ascii="Times New Roman" w:eastAsiaTheme="minorEastAsia" w:hAnsi="Times New Roman" w:cstheme="minorBidi"/>
          <w:sz w:val="24"/>
          <w:szCs w:val="28"/>
          <w:lang w:eastAsia="ru-RU"/>
        </w:rPr>
        <w:t>- косметический ремонт актового зала, ремонт порога у входной двери и крыльца в МБДОУ детском саду «Белочка».</w:t>
      </w:r>
    </w:p>
    <w:p w:rsidR="00120AAA" w:rsidRPr="00120AAA" w:rsidRDefault="00120AAA" w:rsidP="00120AA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120AAA">
        <w:rPr>
          <w:rFonts w:ascii="Times New Roman" w:eastAsiaTheme="minorEastAsia" w:hAnsi="Times New Roman"/>
          <w:b/>
          <w:sz w:val="24"/>
          <w:szCs w:val="24"/>
          <w:lang w:eastAsia="ru-RU"/>
        </w:rPr>
        <w:t>Профилактика безнадзорности и правонарушений несовершеннолетних</w:t>
      </w:r>
    </w:p>
    <w:p w:rsidR="00120AAA" w:rsidRPr="00120AAA" w:rsidRDefault="00120AAA" w:rsidP="0012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>Деятельность Комиссии по делам несовершеннолетних и защите их прав Фировского района (далее – КДН и ЗП) проводится в соответствии с законодательством Российской Федерации и направлена на профилактику безнадзорности и правонарушений несовершеннолетних, защиту их прав и законных интересов, выявление и устранение причин и условий, способствующих совершению правонарушений.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 xml:space="preserve">Работа КДН и ЗП осуществлялась в соответствии с утвержденным  планом работы на 2019 год.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Theme="minorHAnsi" w:hAnsi="Times New Roman"/>
          <w:sz w:val="24"/>
          <w:szCs w:val="24"/>
        </w:rPr>
        <w:t>Комиссией за 9 месяцев 2019 года проведено 14 заседаний (аналогичный период 2018 года – 16). На заседаниях рассматривались вопросы профилактического характера и персональные дела, обсуждались рекомендации Межведомственной комиссии по делам несовершеннолетних и защите их прав при Правительстве Тверской области и вопросы, требующие неотложного рассмотрения.</w:t>
      </w:r>
    </w:p>
    <w:p w:rsidR="00120AAA" w:rsidRPr="00120AAA" w:rsidRDefault="00120AAA" w:rsidP="00120AAA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Theme="minorHAnsi" w:hAnsi="Times New Roman"/>
          <w:sz w:val="24"/>
          <w:szCs w:val="24"/>
        </w:rPr>
        <w:t xml:space="preserve">КДН и ЗП на заседании 26.04.2019 принято постановление № 52 «О мерах по координации действий органов и учреждений системы профилактики безнадзорности и правонарушений несовершеннолетних при исполнении порядка межведомственного взаимодействия», в рамках которого все органы профилактики ежеквартально </w:t>
      </w: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предоставляют информацию о взаимном информировании. Также на заседаниях КДН и ЗП все субъекты профилактики регулярно </w:t>
      </w:r>
      <w:proofErr w:type="gram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отчитываются о</w:t>
      </w:r>
      <w:proofErr w:type="gram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проделанной работе по вопросам профилактики безнадзорности и правонарушений несовершеннолетних и защите их прав. </w:t>
      </w:r>
    </w:p>
    <w:p w:rsidR="00120AAA" w:rsidRPr="00120AAA" w:rsidRDefault="00120AAA" w:rsidP="00120AAA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Liberation Serif" w:hAnsi="Times New Roman" w:cs="Liberation Serif"/>
          <w:kern w:val="3"/>
          <w:sz w:val="24"/>
          <w:szCs w:val="24"/>
          <w:lang w:eastAsia="hi-IN"/>
        </w:rPr>
        <w:t xml:space="preserve">Ежеквартально Комиссией рассматривается вопрос «О состоянии преступлений и правонарушений среди несовершеннолетних», где подробно анализируются причины совершения правонарушений, вносятся предложения о дальнейшей работе по их профилактике. </w:t>
      </w:r>
      <w:r w:rsidRPr="00120AAA">
        <w:rPr>
          <w:rFonts w:ascii="Times New Roman" w:eastAsiaTheme="minorHAnsi" w:hAnsi="Times New Roman" w:cs="Liberation Serif"/>
          <w:kern w:val="3"/>
          <w:sz w:val="24"/>
          <w:szCs w:val="24"/>
        </w:rPr>
        <w:t xml:space="preserve">Фактов жестокого обращения с детьми и суицидов не зафиксировано. 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За 9 месяцев 2019 года в комиссию поступило 66 дел об административных правонарушениях в отношении несовершеннолетних,  родителей. Комиссией выполнены процессуальные действия по административному производству: извещение о вызове на заседание комиссии, вынесение постановлений. Рассмотрено на заседаниях 62 административных дела, в их числе: 12 – в отношении несовершеннолетних,  50 – в отношении родителей (законных представителей) несовершеннолетних.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>На учете в КДН и ЗП на 01.10.2019 года состоят 8 несовершеннолетних (аналогичный период 2018 года – 14), из них 7 человек – учащиеся общеобразовательных учреждений, 1 человек – студент среднего профессионального учебного заведения. С данной категорией подростков проводятся профилактические беседы, а также проверки по месту жительства. Утверждены и реализуются программы по социальной реабилитации несовершеннолетних, оказавшихся в социально опасном положении.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 xml:space="preserve">На учете не состоят несовершеннолетние, употребляющие наркотические и токсические вещества.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 xml:space="preserve">На территории Фировского района проживает 1 подросток условно осужденный.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 xml:space="preserve">За 9 месяцев 2019 года 11 несовершеннолетних граждан </w:t>
      </w:r>
      <w:proofErr w:type="gramStart"/>
      <w:r w:rsidRPr="00120AAA">
        <w:rPr>
          <w:rFonts w:ascii="Times New Roman" w:eastAsiaTheme="minorHAnsi" w:hAnsi="Times New Roman"/>
          <w:sz w:val="24"/>
          <w:szCs w:val="24"/>
        </w:rPr>
        <w:t>сняты</w:t>
      </w:r>
      <w:proofErr w:type="gramEnd"/>
      <w:r w:rsidRPr="00120AAA">
        <w:rPr>
          <w:rFonts w:ascii="Times New Roman" w:eastAsiaTheme="minorHAnsi" w:hAnsi="Times New Roman"/>
          <w:sz w:val="24"/>
          <w:szCs w:val="24"/>
        </w:rPr>
        <w:t xml:space="preserve"> с учета, поставлено – 3 подростка (за 9 месяцев 2018 года 13 и 5 подростков соответственно).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 xml:space="preserve">На учете в комиссии состоят 10 семей (аналогичный период 2018 года – 10), находящихся в социально-опасном положении, в них проживает 21 ребенок.  В 2019 году </w:t>
      </w:r>
      <w:proofErr w:type="gramStart"/>
      <w:r w:rsidRPr="00120AAA">
        <w:rPr>
          <w:rFonts w:ascii="Times New Roman" w:eastAsiaTheme="minorHAnsi" w:hAnsi="Times New Roman"/>
          <w:sz w:val="24"/>
          <w:szCs w:val="24"/>
        </w:rPr>
        <w:t>поставлены</w:t>
      </w:r>
      <w:proofErr w:type="gramEnd"/>
      <w:r w:rsidRPr="00120AAA">
        <w:rPr>
          <w:rFonts w:ascii="Times New Roman" w:eastAsiaTheme="minorHAnsi" w:hAnsi="Times New Roman"/>
          <w:sz w:val="24"/>
          <w:szCs w:val="24"/>
        </w:rPr>
        <w:t xml:space="preserve"> на </w:t>
      </w:r>
      <w:r w:rsidRPr="00120AAA">
        <w:rPr>
          <w:rFonts w:ascii="Times New Roman" w:eastAsiaTheme="minorHAnsi" w:hAnsi="Times New Roman"/>
          <w:sz w:val="24"/>
          <w:szCs w:val="24"/>
        </w:rPr>
        <w:lastRenderedPageBreak/>
        <w:t xml:space="preserve">профилактический учет КДН и ЗП 7 семей (за 9 месяцев 2018 года – 5), 7 семей сняты с учета (за аналогичный период 2018 года – 12).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 xml:space="preserve">Взаимодействие комиссии с органами внутренних дел, социальной защиты, занятости, органами образования и другими субъектами профилактики в выявлении несовершеннолетних и семей, находящихся в социально опасном положении, осуществляется через: обмен информацией, предоставлением актов жилищно-бытовых условий семей и несовершеннолетних, списков различных категорий семей и несовершеннолетних, справки посещения семей, административные протоколы.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20AAA">
        <w:rPr>
          <w:rFonts w:ascii="Times New Roman" w:eastAsiaTheme="minorHAnsi" w:hAnsi="Times New Roman"/>
          <w:sz w:val="24"/>
          <w:szCs w:val="24"/>
        </w:rPr>
        <w:t>Согласно утвержденным графикам КДН и ЗП 2 раза в месяц во взаимодействии со всеми органами профилактики организует рейды в места массового скопления молодежи в вечернее время, в которых участвуют работники общеобразовательных учреждений района. Также осуществляются плановые и внеплановые рейды по подучетным семьям</w:t>
      </w:r>
      <w:proofErr w:type="gramStart"/>
      <w:r w:rsidRPr="00120AAA">
        <w:rPr>
          <w:rFonts w:ascii="Times New Roman" w:eastAsiaTheme="minorHAnsi" w:hAnsi="Times New Roman"/>
          <w:sz w:val="24"/>
          <w:szCs w:val="24"/>
        </w:rPr>
        <w:t>.</w:t>
      </w:r>
      <w:proofErr w:type="gramEnd"/>
      <w:r w:rsidRPr="00120AAA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120AAA">
        <w:rPr>
          <w:rFonts w:ascii="Times New Roman" w:eastAsiaTheme="minorHAnsi" w:hAnsi="Times New Roman"/>
          <w:sz w:val="24"/>
          <w:szCs w:val="24"/>
        </w:rPr>
        <w:t>з</w:t>
      </w:r>
      <w:proofErr w:type="gramEnd"/>
      <w:r w:rsidRPr="00120AAA">
        <w:rPr>
          <w:rFonts w:ascii="Times New Roman" w:eastAsiaTheme="minorHAnsi" w:hAnsi="Times New Roman"/>
          <w:sz w:val="24"/>
          <w:szCs w:val="24"/>
        </w:rPr>
        <w:t xml:space="preserve">а 9 месяцев 2019 года посещено 20 семей. Во время проведения рейдовых мероприятий по району были обследованы жилищно-бытовые условия семей, состоящих на учете КДН и ЗП. В ходе выездных проверок по неблагополучным семьям, состоящим на различных видах учета (КДН, ПДН), проводились беседы воспитательного характера, как с самими родителями, так и с их детьми. По стоящим на учете в КДН и ЗП неблагополучным семьям составляются индивидуальные программы реабилитации и адаптации, на каждую семью заведены личные дела, аналогичная работа проводится с несовершеннолетними, состоящими на профилактическом учете.   </w:t>
      </w:r>
    </w:p>
    <w:p w:rsidR="00120AAA" w:rsidRPr="00120AAA" w:rsidRDefault="00120AAA" w:rsidP="00120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0AAA">
        <w:rPr>
          <w:rFonts w:ascii="Times New Roman" w:hAnsi="Times New Roman"/>
          <w:sz w:val="24"/>
          <w:szCs w:val="24"/>
        </w:rPr>
        <w:t>Для предотвращения роста преступности и правонарушений проводится межведомственная операция «Подросток».</w:t>
      </w:r>
    </w:p>
    <w:p w:rsidR="00120AAA" w:rsidRPr="00120AAA" w:rsidRDefault="00120AAA" w:rsidP="00120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заседаниях КДН и ЗП систематически заслушивается информация о работе субъектов системы профилактики, в ходе которой внедрена новая форма профилактической работы «Единый день профилактики». Для формирования нравственно-правовых мотивов поведения в рамках проведения «Единого дня профилактики» проводились беседы с </w:t>
      </w:r>
      <w:proofErr w:type="gramStart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20AAA">
        <w:rPr>
          <w:rFonts w:ascii="Times New Roman" w:eastAsia="Times New Roman" w:hAnsi="Times New Roman"/>
          <w:sz w:val="24"/>
          <w:szCs w:val="24"/>
          <w:lang w:eastAsia="ru-RU"/>
        </w:rPr>
        <w:t xml:space="preserve"> МБОУ Рождественской, МОУ Фировской СОШ, МБОУ Великооктябрьской СОШ.</w:t>
      </w:r>
    </w:p>
    <w:p w:rsidR="00083D97" w:rsidRDefault="00083D97" w:rsidP="00120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3D97">
        <w:rPr>
          <w:rFonts w:ascii="Times New Roman" w:hAnsi="Times New Roman"/>
          <w:color w:val="00B050"/>
          <w:sz w:val="24"/>
          <w:szCs w:val="24"/>
          <w:lang w:eastAsia="ru-RU"/>
        </w:rPr>
        <w:t xml:space="preserve"> </w:t>
      </w:r>
    </w:p>
    <w:p w:rsidR="004643B9" w:rsidRPr="002E44CE" w:rsidRDefault="004643B9" w:rsidP="004643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E44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КУЛЬТУРА </w:t>
      </w:r>
    </w:p>
    <w:p w:rsidR="004643B9" w:rsidRDefault="004643B9" w:rsidP="004643B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Отдел по делам культуры, молодежи и спорта Администрации Фировского района (далее ОКМС) осуществляет культурную политику в районе, направленную на удовлетворение потребностей населения в получении услуг в сфере культуры, спорта и работе с молодежью.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В непосредственном ведении отдела находятся: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 xml:space="preserve">- Муниципальное учреждение культуры Фировский районный Дом культуры с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 xml:space="preserve"> филиалами;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-  Муниципальное  учреждение культуры  «Фировский районный краеведческий музей»;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- Районное муниципальное учреждение культуры «Фировская межпоселенческая центральная библиотека» с 14 филиалами;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Муниципальное казенное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 дополнительного образования </w:t>
      </w: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ировская детская школа искусств</w:t>
      </w: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- Муниципальное казенное учреждение дополнительного образования детей «Фировская детская юношеская спортивная школа»;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>- Муниципальный телеканал «Фирово».</w:t>
      </w:r>
    </w:p>
    <w:p w:rsidR="004B2A49" w:rsidRPr="001C52DF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52D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ОКМС осуществляется согласно плану работы, разработанному на год.   </w:t>
      </w:r>
    </w:p>
    <w:p w:rsidR="004B2A49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b/>
          <w:sz w:val="24"/>
          <w:szCs w:val="24"/>
          <w:lang w:eastAsia="ru-RU"/>
        </w:rPr>
        <w:t>В Домах культуры и сельских клубах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основным и приоритетным направлени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досуговая деятельность (концерты, кружковая работа, массовые праздники, клубы по интересам).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 9 месяцев 2019 года у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чреждениями культуры района проведено более 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600</w:t>
      </w:r>
      <w:r w:rsidRPr="002D23EC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мероприятий, включая дискотеки.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Наиболее интересны и яркие – это: ф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естиваль самодеятельного творчества коллективов и исполнителей Фировского района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Жизнь, как в сказке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День района: торжественное открытие праздника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22174">
        <w:rPr>
          <w:rFonts w:ascii="Times New Roman" w:hAnsi="Times New Roman"/>
          <w:sz w:val="26"/>
          <w:szCs w:val="26"/>
        </w:rPr>
        <w:t xml:space="preserve"> </w:t>
      </w:r>
      <w:r w:rsidRPr="00222174">
        <w:rPr>
          <w:rFonts w:ascii="Times New Roman" w:hAnsi="Times New Roman"/>
          <w:sz w:val="24"/>
          <w:szCs w:val="24"/>
        </w:rPr>
        <w:t>конкурсы «Лучшая детская коляска», «Самый яркий коллектив»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, праздничный концерт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Праздники вместе мы празднуем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222174">
        <w:rPr>
          <w:rFonts w:ascii="Times New Roman" w:hAnsi="Times New Roman"/>
          <w:sz w:val="24"/>
          <w:szCs w:val="24"/>
        </w:rPr>
        <w:t xml:space="preserve">концерт </w:t>
      </w:r>
      <w:r w:rsidRPr="00222174">
        <w:rPr>
          <w:rFonts w:ascii="Times New Roman" w:hAnsi="Times New Roman"/>
          <w:sz w:val="24"/>
          <w:szCs w:val="24"/>
        </w:rPr>
        <w:lastRenderedPageBreak/>
        <w:t>творческих коллективов учреждений культуры Фировского района «С песней по жизни»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площади РДК, </w:t>
      </w:r>
      <w:r w:rsidRPr="00222174">
        <w:rPr>
          <w:rFonts w:ascii="Times New Roman" w:hAnsi="Times New Roman"/>
          <w:sz w:val="24"/>
          <w:szCs w:val="24"/>
        </w:rPr>
        <w:t>мастер-классы по декоративно-прикладному творчеству:</w:t>
      </w:r>
      <w:proofErr w:type="gramEnd"/>
      <w:r w:rsidRPr="00222174">
        <w:rPr>
          <w:rFonts w:ascii="Times New Roman" w:hAnsi="Times New Roman"/>
          <w:sz w:val="24"/>
          <w:szCs w:val="24"/>
        </w:rPr>
        <w:t xml:space="preserve"> «Сувенирные валенки», «</w:t>
      </w:r>
      <w:proofErr w:type="spellStart"/>
      <w:r w:rsidRPr="00222174">
        <w:rPr>
          <w:rFonts w:ascii="Times New Roman" w:hAnsi="Times New Roman"/>
          <w:sz w:val="24"/>
          <w:szCs w:val="24"/>
        </w:rPr>
        <w:t>Декупаж</w:t>
      </w:r>
      <w:proofErr w:type="spellEnd"/>
      <w:r w:rsidRPr="00222174">
        <w:rPr>
          <w:rFonts w:ascii="Times New Roman" w:hAnsi="Times New Roman"/>
          <w:sz w:val="24"/>
          <w:szCs w:val="24"/>
        </w:rPr>
        <w:t xml:space="preserve"> свечи», «Шляпа для дамы», «Гравюра в технике </w:t>
      </w:r>
      <w:proofErr w:type="spellStart"/>
      <w:r w:rsidRPr="00222174">
        <w:rPr>
          <w:rFonts w:ascii="Times New Roman" w:hAnsi="Times New Roman"/>
          <w:sz w:val="24"/>
          <w:szCs w:val="24"/>
        </w:rPr>
        <w:t>гратаж</w:t>
      </w:r>
      <w:proofErr w:type="spellEnd"/>
      <w:r w:rsidRPr="00222174">
        <w:rPr>
          <w:rFonts w:ascii="Times New Roman" w:hAnsi="Times New Roman"/>
          <w:sz w:val="24"/>
          <w:szCs w:val="24"/>
        </w:rPr>
        <w:t>», «Нарисованный подводный мир»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шоу-программа «Приключения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Крапиники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кукольн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 театр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Кукландия</w:t>
      </w:r>
      <w:proofErr w:type="spellEnd"/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222174">
        <w:rPr>
          <w:rFonts w:ascii="Times New Roman" w:hAnsi="Times New Roman"/>
          <w:sz w:val="24"/>
          <w:szCs w:val="24"/>
        </w:rPr>
        <w:t>фестиваль детского творчества «Рецепт хорошего настроения»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шоу «</w:t>
      </w:r>
      <w:r w:rsidRPr="00A112F2">
        <w:rPr>
          <w:rFonts w:ascii="Times New Roman" w:hAnsi="Times New Roman"/>
          <w:sz w:val="24"/>
          <w:szCs w:val="24"/>
        </w:rPr>
        <w:t>Волшебный мир танца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 День села Рождество, День поселка Труд, День государственного флага РФ, Ночь кино, м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униципальный интегрирова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нный фестиваль «Путь к успеху!».</w:t>
      </w:r>
    </w:p>
    <w:p w:rsidR="004B2A49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Ведётся работа клубных формирований.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о время каникул учреждения культуры работали совместно со школами района в целях организации досуга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роводились различные конкурсные и игровые программы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рганизовывался просмотр кинофильмов и мультфильмов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2A49" w:rsidRPr="006E3510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Творческие коллективы учреждения в течение года принимали активное 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астие в фестивалях и конкурсах: </w:t>
      </w:r>
      <w:r w:rsidRPr="002D23EC">
        <w:rPr>
          <w:rFonts w:ascii="Times New Roman" w:hAnsi="Times New Roman"/>
          <w:sz w:val="24"/>
          <w:szCs w:val="24"/>
        </w:rPr>
        <w:t>Областной фестиваль творчества клубов по интересам «Мои года - мои богатство» (г.</w:t>
      </w:r>
      <w:r>
        <w:rPr>
          <w:rFonts w:ascii="Times New Roman" w:hAnsi="Times New Roman"/>
          <w:sz w:val="24"/>
          <w:szCs w:val="24"/>
        </w:rPr>
        <w:t xml:space="preserve"> Бологое); </w:t>
      </w:r>
      <w:r w:rsidRPr="00B0328D"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328D">
        <w:rPr>
          <w:rFonts w:ascii="Times New Roman" w:hAnsi="Times New Roman"/>
          <w:sz w:val="24"/>
          <w:szCs w:val="24"/>
        </w:rPr>
        <w:t>Межмуниципальный открытый фестиваль-конкурс исполнителей частушки «Гуляй, ярмарка Вышневолоцкая! Звени, частушка звонкая!» (п.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328D">
        <w:rPr>
          <w:rFonts w:ascii="Times New Roman" w:hAnsi="Times New Roman"/>
          <w:sz w:val="24"/>
          <w:szCs w:val="24"/>
        </w:rPr>
        <w:t>Красномайский</w:t>
      </w:r>
      <w:r>
        <w:rPr>
          <w:rFonts w:ascii="Times New Roman" w:hAnsi="Times New Roman"/>
          <w:sz w:val="24"/>
          <w:szCs w:val="24"/>
        </w:rPr>
        <w:t xml:space="preserve"> Вышневолоцкого района); </w:t>
      </w:r>
      <w:r w:rsidRPr="00B0328D">
        <w:rPr>
          <w:rFonts w:ascii="Times New Roman" w:hAnsi="Times New Roman"/>
          <w:sz w:val="24"/>
          <w:szCs w:val="24"/>
          <w:lang w:val="en-US"/>
        </w:rPr>
        <w:t>XI</w:t>
      </w:r>
      <w:r w:rsidRPr="00B0328D">
        <w:rPr>
          <w:rFonts w:ascii="Times New Roman" w:hAnsi="Times New Roman"/>
          <w:sz w:val="24"/>
          <w:szCs w:val="24"/>
        </w:rPr>
        <w:t xml:space="preserve"> Вышневолоцкая межрегиональная ярмарка (п. Красномайский Вышневолоцкого района)</w:t>
      </w:r>
      <w:r>
        <w:rPr>
          <w:rFonts w:ascii="Times New Roman" w:hAnsi="Times New Roman"/>
          <w:sz w:val="24"/>
          <w:szCs w:val="24"/>
        </w:rPr>
        <w:t>; о</w:t>
      </w:r>
      <w:r w:rsidRPr="004B7F29">
        <w:rPr>
          <w:rFonts w:ascii="Times New Roman" w:hAnsi="Times New Roman"/>
          <w:bCs/>
          <w:sz w:val="24"/>
          <w:szCs w:val="24"/>
        </w:rPr>
        <w:t>бластно</w:t>
      </w:r>
      <w:r>
        <w:rPr>
          <w:rFonts w:ascii="Times New Roman" w:hAnsi="Times New Roman"/>
          <w:bCs/>
          <w:sz w:val="24"/>
          <w:szCs w:val="24"/>
        </w:rPr>
        <w:t>й</w:t>
      </w:r>
      <w:r w:rsidRPr="004B7F29">
        <w:rPr>
          <w:rFonts w:ascii="Times New Roman" w:hAnsi="Times New Roman"/>
          <w:bCs/>
          <w:sz w:val="24"/>
          <w:szCs w:val="24"/>
        </w:rPr>
        <w:t xml:space="preserve"> </w:t>
      </w:r>
      <w:r w:rsidRPr="004B7F29">
        <w:rPr>
          <w:rFonts w:ascii="Times New Roman" w:eastAsia="Times New Roman" w:hAnsi="Times New Roman"/>
          <w:bCs/>
          <w:sz w:val="24"/>
          <w:szCs w:val="24"/>
          <w:lang w:eastAsia="ru-RU"/>
        </w:rPr>
        <w:t>интегрированн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ый</w:t>
      </w:r>
      <w:r w:rsidRPr="004B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фестиваль</w:t>
      </w:r>
      <w:r w:rsidRPr="004B7F29">
        <w:rPr>
          <w:rFonts w:ascii="Times New Roman" w:hAnsi="Times New Roman"/>
          <w:bCs/>
          <w:sz w:val="24"/>
          <w:szCs w:val="24"/>
        </w:rPr>
        <w:t xml:space="preserve"> творчества «Путь к успеху!»</w:t>
      </w:r>
      <w:r>
        <w:rPr>
          <w:rFonts w:ascii="Times New Roman" w:hAnsi="Times New Roman"/>
          <w:bCs/>
          <w:sz w:val="24"/>
          <w:szCs w:val="24"/>
        </w:rPr>
        <w:t xml:space="preserve"> (муниципальный и зональный этапы); областной фестиваль исполнителей популярной музыки «Шлягер-2019»; межрегиональный фестиваль хореографического и вокального творчества «</w:t>
      </w:r>
      <w:proofErr w:type="spellStart"/>
      <w:r>
        <w:rPr>
          <w:rFonts w:ascii="Times New Roman" w:hAnsi="Times New Roman"/>
          <w:bCs/>
          <w:sz w:val="24"/>
          <w:szCs w:val="24"/>
        </w:rPr>
        <w:t>Синема</w:t>
      </w:r>
      <w:proofErr w:type="spellEnd"/>
      <w:r>
        <w:rPr>
          <w:rFonts w:ascii="Times New Roman" w:hAnsi="Times New Roman"/>
          <w:bCs/>
          <w:sz w:val="24"/>
          <w:szCs w:val="24"/>
        </w:rPr>
        <w:t>».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В Фировском РДК ведутся прямые трансляции из концертного зала Тверской академической областной филармонии в рамках программы «Виртуальный концертный зал».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За 9 месяцев курсы повышения квалификации прошли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Ведется работа по укреплению материально-технической базы и безопасности деятельности. За 9 месяцев 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за счет средств муниципального бюджета проведены следующие работы: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Фировский РДК: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косметический 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ремонт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помещений музея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110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14,6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тыс. руб. </w:t>
      </w:r>
      <w:r w:rsidRPr="004551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(стоимость работ)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B2A49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- 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косметический ремонт фасада, полов в </w:t>
      </w:r>
      <w:proofErr w:type="spellStart"/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дискозале</w:t>
      </w:r>
      <w:proofErr w:type="spellEnd"/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РДК, детской площадки (работы и материал) –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29,3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тыс. руб.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551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(стоимость работ)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материалы для ремонта кровли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110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54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тыс. руб.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Жуковский СДК: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установка входных дверей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138,1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тыс. руб.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Погорельс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кий СК: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материалы для косметического ремонта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110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8,7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руб.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Приобретены: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порошковые огнетушители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110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15,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тыс. руб.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звуковое оборудование</w:t>
      </w: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110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20,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тыс. руб.,</w:t>
      </w:r>
    </w:p>
    <w:p w:rsidR="004B2A49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бензопила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19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2D23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тыс. руб.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- </w:t>
      </w:r>
      <w:r w:rsidRPr="00482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тент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 21,3 тыс. руб.</w:t>
      </w:r>
    </w:p>
    <w:p w:rsidR="004B2A49" w:rsidRPr="002D23EC" w:rsidRDefault="004B2A49" w:rsidP="004B2A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3EC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районной газете «Коммунар» регулярно публикуется информация о проведенных  мероприятиях, как в Домах культуры, так и в библиотечной системе.  </w:t>
      </w:r>
    </w:p>
    <w:p w:rsidR="004B2A49" w:rsidRDefault="004B2A49" w:rsidP="004B2A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2A49" w:rsidRPr="00765A80" w:rsidRDefault="004B2A49" w:rsidP="004B2A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65A80">
        <w:rPr>
          <w:rFonts w:ascii="Times New Roman" w:hAnsi="Times New Roman"/>
          <w:color w:val="000000"/>
          <w:sz w:val="24"/>
          <w:szCs w:val="24"/>
        </w:rPr>
        <w:t xml:space="preserve">С 2019 года </w:t>
      </w:r>
      <w:r w:rsidRPr="00765A80">
        <w:rPr>
          <w:rFonts w:ascii="Times New Roman" w:hAnsi="Times New Roman"/>
          <w:b/>
          <w:color w:val="000000"/>
          <w:sz w:val="24"/>
          <w:szCs w:val="24"/>
        </w:rPr>
        <w:t>районное муниципальное учреждение культуры «Фировская межпоселенческая центральная библиотека»</w:t>
      </w:r>
      <w:r w:rsidRPr="00765A80">
        <w:rPr>
          <w:rFonts w:ascii="Times New Roman" w:hAnsi="Times New Roman"/>
          <w:color w:val="000000"/>
          <w:sz w:val="24"/>
          <w:szCs w:val="24"/>
        </w:rPr>
        <w:t xml:space="preserve"> работает по программе «От идеи к воплощению», основные мероприятия которой посвящены Году театра.</w:t>
      </w:r>
      <w:r w:rsidRPr="00765A80">
        <w:t xml:space="preserve"> </w:t>
      </w:r>
      <w:r w:rsidRPr="00765A80">
        <w:rPr>
          <w:rFonts w:ascii="Times New Roman" w:hAnsi="Times New Roman"/>
          <w:color w:val="000000"/>
          <w:sz w:val="24"/>
          <w:szCs w:val="24"/>
        </w:rPr>
        <w:t xml:space="preserve">В каждой библиотеке оформлены </w:t>
      </w:r>
      <w:proofErr w:type="gramStart"/>
      <w:r w:rsidRPr="00765A80">
        <w:rPr>
          <w:rFonts w:ascii="Times New Roman" w:hAnsi="Times New Roman"/>
          <w:color w:val="000000"/>
          <w:sz w:val="24"/>
          <w:szCs w:val="24"/>
        </w:rPr>
        <w:t>выставки о театре</w:t>
      </w:r>
      <w:proofErr w:type="gramEnd"/>
      <w:r w:rsidRPr="00765A80">
        <w:rPr>
          <w:rFonts w:ascii="Times New Roman" w:hAnsi="Times New Roman"/>
          <w:color w:val="000000"/>
          <w:sz w:val="24"/>
          <w:szCs w:val="24"/>
        </w:rPr>
        <w:t xml:space="preserve"> и драматургии, которые экспонируются в течение всего года, реализуется широкий спектр мероприятий. Масштабно прошла </w:t>
      </w:r>
      <w:proofErr w:type="spellStart"/>
      <w:r w:rsidRPr="00765A80">
        <w:rPr>
          <w:rFonts w:ascii="Times New Roman" w:hAnsi="Times New Roman"/>
          <w:color w:val="000000"/>
          <w:sz w:val="24"/>
          <w:szCs w:val="24"/>
        </w:rPr>
        <w:t>Библионочь</w:t>
      </w:r>
      <w:proofErr w:type="spellEnd"/>
      <w:r w:rsidRPr="00765A80">
        <w:rPr>
          <w:rFonts w:ascii="Times New Roman" w:hAnsi="Times New Roman"/>
          <w:color w:val="000000"/>
          <w:sz w:val="24"/>
          <w:szCs w:val="24"/>
        </w:rPr>
        <w:t xml:space="preserve"> «Театра мир откроет нам свои кулисы». Для детей дошкольного и младшего школьного возраста  самодеятельный кукольный театр предлагал инсценировки литературных произведений, а также мероприятия с героями книг  «Петрушка в библиотеке», «</w:t>
      </w:r>
      <w:proofErr w:type="spellStart"/>
      <w:r w:rsidRPr="00765A80">
        <w:rPr>
          <w:rFonts w:ascii="Times New Roman" w:hAnsi="Times New Roman"/>
          <w:color w:val="000000"/>
          <w:sz w:val="24"/>
          <w:szCs w:val="24"/>
        </w:rPr>
        <w:t>Мурзилке</w:t>
      </w:r>
      <w:proofErr w:type="spellEnd"/>
      <w:r w:rsidRPr="00765A80">
        <w:rPr>
          <w:rFonts w:ascii="Times New Roman" w:hAnsi="Times New Roman"/>
          <w:color w:val="000000"/>
          <w:sz w:val="24"/>
          <w:szCs w:val="24"/>
        </w:rPr>
        <w:t xml:space="preserve"> – 95 лет», «Скоро в школу» и др.</w:t>
      </w:r>
    </w:p>
    <w:p w:rsidR="004B2A49" w:rsidRPr="00765A80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 xml:space="preserve">В течение года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осуществляется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 xml:space="preserve"> выпуск буклетов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памяток, листовок, закладок к 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 xml:space="preserve">знаменательным и юбилейным датам. Неотъемлемой частью работы библиотеки стали выпуск 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сборников стихов и прозы, так в апреле вышел в св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ет сборник Людмилы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Полионовой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 xml:space="preserve">Школа. Записки учителя», а в июне сборник совместного творчества Галины </w:t>
      </w:r>
      <w:proofErr w:type="spellStart"/>
      <w:r w:rsidRPr="00765A80">
        <w:rPr>
          <w:rFonts w:ascii="Times New Roman" w:eastAsia="Times New Roman" w:hAnsi="Times New Roman"/>
          <w:color w:val="000000"/>
          <w:sz w:val="24"/>
          <w:szCs w:val="24"/>
        </w:rPr>
        <w:t>Нахтман</w:t>
      </w:r>
      <w:proofErr w:type="spellEnd"/>
      <w:r w:rsidRPr="00765A80">
        <w:rPr>
          <w:rFonts w:ascii="Times New Roman" w:eastAsia="Times New Roman" w:hAnsi="Times New Roman"/>
          <w:color w:val="000000"/>
          <w:sz w:val="24"/>
          <w:szCs w:val="24"/>
        </w:rPr>
        <w:t xml:space="preserve"> и Александры Андроновой «Художник,  так же,  как поэт – сюжет в себе переживает…».</w:t>
      </w:r>
    </w:p>
    <w:p w:rsidR="004B2A49" w:rsidRPr="00765A80" w:rsidRDefault="004B2A49" w:rsidP="004B2A4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65A80">
        <w:rPr>
          <w:rFonts w:ascii="Times New Roman" w:hAnsi="Times New Roman"/>
          <w:sz w:val="24"/>
          <w:szCs w:val="24"/>
        </w:rPr>
        <w:t>Библиотеками района  проведено около пятисот мероприятий и более пятисот книжных выста</w:t>
      </w:r>
      <w:r>
        <w:rPr>
          <w:rFonts w:ascii="Times New Roman" w:hAnsi="Times New Roman"/>
          <w:sz w:val="24"/>
          <w:szCs w:val="24"/>
        </w:rPr>
        <w:t>вок с охватом населения около 4</w:t>
      </w:r>
      <w:r w:rsidRPr="00765A80">
        <w:rPr>
          <w:rFonts w:ascii="Times New Roman" w:hAnsi="Times New Roman"/>
          <w:sz w:val="24"/>
          <w:szCs w:val="24"/>
        </w:rPr>
        <w:t xml:space="preserve">000 человек. </w:t>
      </w:r>
    </w:p>
    <w:p w:rsidR="004B2A49" w:rsidRPr="00765A80" w:rsidRDefault="004B2A49" w:rsidP="004B2A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ab/>
        <w:t>Библиотека является активным информационным агентом, равноправным действующим лицом в сетевом, виртуальном пространстве, дает пользователям профессиональную консультацию в навигации и выборе источников информации. Благодаря компьютеризации сельских библиотек в 2018 году, появилась возможность внедрять современные технологии в обслуживание пользователей на селе, активно работать в социальных сетях.</w:t>
      </w:r>
    </w:p>
    <w:p w:rsidR="004B2A49" w:rsidRPr="00765A80" w:rsidRDefault="004B2A49" w:rsidP="004B2A4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>На основе новых информационных технологий библиотека предоставляет своим пользователям широкий спектр услуг: сканирование, ксерокопирование, распечатка документов, доступ в Интернет. Потребителей информации привлекает бесплатное ознакомление со столь необходимой сейчас правовой информацией посредством справочно-правовой информационной системы «Консультант-Плюс».</w:t>
      </w:r>
    </w:p>
    <w:p w:rsidR="004B2A49" w:rsidRPr="00765A80" w:rsidRDefault="004B2A49" w:rsidP="004B2A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>Ежегодно библиотеками района проводится работа по привлечению в фонды</w:t>
      </w:r>
      <w:r w:rsidRPr="00157B5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 xml:space="preserve">книг, подаренных читателями, а также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являющихся 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>авторскими дарами. Так, в отчетном году фонды библиотек района за счет даров пополнились на 300 экз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емпляров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4B2A49" w:rsidRDefault="004B2A49" w:rsidP="004B2A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 xml:space="preserve">Одним из важных составляющих моментов в формировании общественного мнения является взаимодействие со средствами массовой информации. Корреспонденты и редакторы местного телевидения и газеты являются частыми гостями и участниками мероприятий, проводимых в библиотеке. Одна из форм совместной деятельности, которая пользуется большим интересом у жителей района, </w:t>
      </w:r>
      <w:r w:rsidRPr="00157B5E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65A80">
        <w:rPr>
          <w:rFonts w:ascii="Times New Roman" w:eastAsia="Times New Roman" w:hAnsi="Times New Roman"/>
          <w:color w:val="000000"/>
          <w:sz w:val="24"/>
          <w:szCs w:val="24"/>
        </w:rPr>
        <w:t>выпуски обзоров книг на 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елевидении «Книжная гостиная». </w:t>
      </w:r>
    </w:p>
    <w:p w:rsidR="004B2A49" w:rsidRPr="00157B5E" w:rsidRDefault="004B2A49" w:rsidP="004B2A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B2A49" w:rsidRPr="00765A80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A80">
        <w:rPr>
          <w:rFonts w:ascii="Times New Roman" w:hAnsi="Times New Roman"/>
          <w:sz w:val="24"/>
          <w:szCs w:val="24"/>
        </w:rPr>
        <w:t xml:space="preserve">Продолжает свою работу </w:t>
      </w:r>
      <w:r w:rsidRPr="00765A80">
        <w:rPr>
          <w:rFonts w:ascii="Times New Roman" w:hAnsi="Times New Roman"/>
          <w:b/>
          <w:sz w:val="24"/>
          <w:szCs w:val="24"/>
        </w:rPr>
        <w:t>Муниципальное учреждение культуры «Фировский районный краеведческий музей»,</w:t>
      </w:r>
      <w:r w:rsidRPr="00765A80">
        <w:rPr>
          <w:rFonts w:ascii="Times New Roman" w:hAnsi="Times New Roman"/>
          <w:sz w:val="24"/>
          <w:szCs w:val="24"/>
        </w:rPr>
        <w:t xml:space="preserve"> фонд которого насчитывает более </w:t>
      </w:r>
      <w:r w:rsidRPr="00BC700A">
        <w:rPr>
          <w:rFonts w:ascii="Times New Roman" w:hAnsi="Times New Roman"/>
          <w:sz w:val="24"/>
          <w:szCs w:val="24"/>
        </w:rPr>
        <w:t xml:space="preserve">2500 </w:t>
      </w:r>
      <w:r w:rsidRPr="00765A80">
        <w:rPr>
          <w:rFonts w:ascii="Times New Roman" w:hAnsi="Times New Roman"/>
          <w:sz w:val="24"/>
          <w:szCs w:val="24"/>
        </w:rPr>
        <w:t>единиц хранения. Музей является центром патриотического, нравственного, эстетического воспитания  подростков и молодежи. Исполняющий обязанности директора музея работа</w:t>
      </w:r>
      <w:bookmarkStart w:id="64" w:name="_GoBack"/>
      <w:bookmarkEnd w:id="64"/>
      <w:r w:rsidRPr="00765A80">
        <w:rPr>
          <w:rFonts w:ascii="Times New Roman" w:hAnsi="Times New Roman"/>
          <w:sz w:val="24"/>
          <w:szCs w:val="24"/>
        </w:rPr>
        <w:t xml:space="preserve">ет в тесном контакте с </w:t>
      </w:r>
      <w:r>
        <w:rPr>
          <w:rFonts w:ascii="Times New Roman" w:hAnsi="Times New Roman"/>
          <w:sz w:val="24"/>
          <w:szCs w:val="24"/>
        </w:rPr>
        <w:t>о</w:t>
      </w:r>
      <w:r w:rsidRPr="00765A80">
        <w:rPr>
          <w:rFonts w:ascii="Times New Roman" w:hAnsi="Times New Roman"/>
          <w:sz w:val="24"/>
          <w:szCs w:val="24"/>
        </w:rPr>
        <w:t>тделом образования, школами района, районной газетой «Коммунар», Фировским РДК. В музее проводятся уроки-экскурсии по историческому и литературному краеведению, уроки мужества. В 2019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A80">
        <w:rPr>
          <w:rFonts w:ascii="Times New Roman" w:hAnsi="Times New Roman"/>
          <w:sz w:val="24"/>
          <w:szCs w:val="24"/>
        </w:rPr>
        <w:t>году продолжилась работа по учету и хранению собранных материалов. Предоставлялась информация по запросам посетителей музея</w:t>
      </w:r>
      <w:r>
        <w:rPr>
          <w:rFonts w:ascii="Times New Roman" w:hAnsi="Times New Roman"/>
          <w:sz w:val="24"/>
          <w:szCs w:val="24"/>
        </w:rPr>
        <w:t>.</w:t>
      </w:r>
    </w:p>
    <w:p w:rsidR="004B2A49" w:rsidRPr="00765A80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A80">
        <w:rPr>
          <w:rFonts w:ascii="Times New Roman" w:hAnsi="Times New Roman"/>
          <w:sz w:val="24"/>
          <w:szCs w:val="24"/>
        </w:rPr>
        <w:t xml:space="preserve">С января по сентябрь 2019 года были организованы временные выставки, посвященные памятным и </w:t>
      </w:r>
      <w:r>
        <w:rPr>
          <w:rFonts w:ascii="Times New Roman" w:hAnsi="Times New Roman"/>
          <w:sz w:val="24"/>
          <w:szCs w:val="24"/>
        </w:rPr>
        <w:t xml:space="preserve">знаменательным событиям (датам), такие как: </w:t>
      </w:r>
      <w:r w:rsidRPr="00765A80">
        <w:rPr>
          <w:rFonts w:ascii="Times New Roman" w:hAnsi="Times New Roman"/>
          <w:sz w:val="24"/>
          <w:szCs w:val="24"/>
        </w:rPr>
        <w:t>«Жертвы Холокоста»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65A80">
        <w:rPr>
          <w:rFonts w:ascii="Times New Roman" w:hAnsi="Times New Roman"/>
          <w:sz w:val="24"/>
          <w:szCs w:val="24"/>
        </w:rPr>
        <w:t>«Освобожденный Ленинград»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65A80">
        <w:rPr>
          <w:rFonts w:ascii="Times New Roman" w:hAnsi="Times New Roman"/>
          <w:sz w:val="24"/>
          <w:szCs w:val="24"/>
        </w:rPr>
        <w:t>«Блокадный хлеб»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65A80">
        <w:rPr>
          <w:rFonts w:ascii="Times New Roman" w:hAnsi="Times New Roman"/>
          <w:sz w:val="24"/>
          <w:szCs w:val="24"/>
        </w:rPr>
        <w:t>«Сталинградская битва»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65A80">
        <w:rPr>
          <w:rFonts w:ascii="Times New Roman" w:hAnsi="Times New Roman"/>
          <w:sz w:val="24"/>
          <w:szCs w:val="24"/>
        </w:rPr>
        <w:t>«Афганистан болит в моей душе…»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65A80">
        <w:rPr>
          <w:rFonts w:ascii="Times New Roman" w:hAnsi="Times New Roman"/>
          <w:sz w:val="24"/>
          <w:szCs w:val="24"/>
        </w:rPr>
        <w:t>«День рождения Первого в космосе…»;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A80">
        <w:rPr>
          <w:rFonts w:ascii="Times New Roman" w:hAnsi="Times New Roman"/>
          <w:sz w:val="24"/>
          <w:szCs w:val="24"/>
        </w:rPr>
        <w:t>«Учитель и Ученик. Как мы учились…»</w:t>
      </w:r>
      <w:r>
        <w:rPr>
          <w:rFonts w:ascii="Times New Roman" w:hAnsi="Times New Roman"/>
          <w:sz w:val="24"/>
          <w:szCs w:val="24"/>
        </w:rPr>
        <w:t>;</w:t>
      </w:r>
      <w:r w:rsidRPr="00765A80">
        <w:rPr>
          <w:rFonts w:ascii="Times New Roman" w:hAnsi="Times New Roman"/>
          <w:sz w:val="24"/>
          <w:szCs w:val="24"/>
        </w:rPr>
        <w:t xml:space="preserve"> «Бородинская битва»</w:t>
      </w:r>
      <w:r>
        <w:rPr>
          <w:rFonts w:ascii="Times New Roman" w:hAnsi="Times New Roman"/>
          <w:sz w:val="24"/>
          <w:szCs w:val="24"/>
        </w:rPr>
        <w:t xml:space="preserve"> и др.</w:t>
      </w:r>
    </w:p>
    <w:p w:rsidR="004B2A49" w:rsidRPr="00765A80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A80">
        <w:rPr>
          <w:rFonts w:ascii="Times New Roman" w:hAnsi="Times New Roman"/>
          <w:sz w:val="24"/>
          <w:szCs w:val="24"/>
        </w:rPr>
        <w:t>В январе была организована и оформлена еще одна постоянная экспозиция, посвященная бывшему директору музея Русановой Эльвире Иосифовне.</w:t>
      </w:r>
    </w:p>
    <w:p w:rsidR="004B2A49" w:rsidRPr="00765A80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9 месяцев 2019 года</w:t>
      </w:r>
      <w:r w:rsidRPr="00765A80">
        <w:rPr>
          <w:rFonts w:ascii="Times New Roman" w:hAnsi="Times New Roman"/>
          <w:sz w:val="24"/>
          <w:szCs w:val="24"/>
        </w:rPr>
        <w:t xml:space="preserve"> музей посетили более 1000 человек, включая школьников, жителей и гостей Фировского района.</w:t>
      </w:r>
    </w:p>
    <w:p w:rsidR="004B2A49" w:rsidRPr="00765A80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A80">
        <w:rPr>
          <w:rFonts w:ascii="Times New Roman" w:hAnsi="Times New Roman"/>
          <w:sz w:val="24"/>
          <w:szCs w:val="24"/>
        </w:rPr>
        <w:t xml:space="preserve">В июне </w:t>
      </w:r>
      <w:r>
        <w:rPr>
          <w:rFonts w:ascii="Times New Roman" w:hAnsi="Times New Roman"/>
          <w:sz w:val="24"/>
          <w:szCs w:val="24"/>
        </w:rPr>
        <w:t xml:space="preserve">2019 года </w:t>
      </w:r>
      <w:r w:rsidRPr="00765A80">
        <w:rPr>
          <w:rFonts w:ascii="Times New Roman" w:hAnsi="Times New Roman"/>
          <w:sz w:val="24"/>
          <w:szCs w:val="24"/>
        </w:rPr>
        <w:t>был проведен косметический ремонт и замена оргтехники.</w:t>
      </w:r>
    </w:p>
    <w:p w:rsidR="004B2A49" w:rsidRDefault="004B2A49" w:rsidP="004B2A49">
      <w:pPr>
        <w:pStyle w:val="a8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B2A49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BF6DD8">
        <w:rPr>
          <w:rFonts w:ascii="Times New Roman" w:hAnsi="Times New Roman"/>
          <w:b/>
          <w:sz w:val="24"/>
          <w:szCs w:val="24"/>
        </w:rPr>
        <w:t>Муниципальное казенное учреждение дополнительного образования  Фировская  детская школа искусств</w:t>
      </w:r>
      <w:r>
        <w:rPr>
          <w:rFonts w:ascii="Times New Roman" w:hAnsi="Times New Roman"/>
          <w:b/>
          <w:sz w:val="24"/>
          <w:szCs w:val="24"/>
        </w:rPr>
        <w:t xml:space="preserve"> (МКУДО «Фировская ДШИ»)</w:t>
      </w:r>
      <w:r>
        <w:rPr>
          <w:rFonts w:ascii="Times New Roman" w:hAnsi="Times New Roman"/>
          <w:sz w:val="24"/>
          <w:szCs w:val="24"/>
        </w:rPr>
        <w:t>. На начало нового 2019-2020</w:t>
      </w:r>
      <w:r w:rsidRPr="00BF6DD8">
        <w:rPr>
          <w:rFonts w:ascii="Times New Roman" w:hAnsi="Times New Roman"/>
          <w:sz w:val="24"/>
          <w:szCs w:val="24"/>
        </w:rPr>
        <w:t xml:space="preserve"> учебного года колич</w:t>
      </w:r>
      <w:r>
        <w:rPr>
          <w:rFonts w:ascii="Times New Roman" w:hAnsi="Times New Roman"/>
          <w:sz w:val="24"/>
          <w:szCs w:val="24"/>
        </w:rPr>
        <w:t>ество учащихся ДШИ составило 155</w:t>
      </w:r>
      <w:r w:rsidRPr="00BF6DD8">
        <w:rPr>
          <w:rFonts w:ascii="Times New Roman" w:hAnsi="Times New Roman"/>
          <w:sz w:val="24"/>
          <w:szCs w:val="24"/>
        </w:rPr>
        <w:t xml:space="preserve"> человек. </w:t>
      </w:r>
      <w:r>
        <w:rPr>
          <w:rFonts w:ascii="Times New Roman" w:hAnsi="Times New Roman"/>
          <w:sz w:val="24"/>
          <w:szCs w:val="24"/>
        </w:rPr>
        <w:t xml:space="preserve">Школа реализует как общеобразовательные программы в области искусств, так и  предпрофессиональные программы. </w:t>
      </w:r>
      <w:r w:rsidRPr="00BF6DD8">
        <w:rPr>
          <w:rFonts w:ascii="Times New Roman" w:hAnsi="Times New Roman"/>
          <w:sz w:val="24"/>
          <w:szCs w:val="24"/>
        </w:rPr>
        <w:t xml:space="preserve">Обучение проходит по следующим дисциплинам: народные инструменты (баян), фортепиано, хореография. </w:t>
      </w:r>
    </w:p>
    <w:p w:rsidR="004B2A49" w:rsidRPr="005A7C5B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A7D4A">
        <w:rPr>
          <w:rFonts w:ascii="Times New Roman" w:hAnsi="Times New Roman"/>
          <w:sz w:val="24"/>
          <w:szCs w:val="24"/>
        </w:rPr>
        <w:t xml:space="preserve">В течение 9 месяцев </w:t>
      </w:r>
      <w:r>
        <w:rPr>
          <w:rFonts w:ascii="Times New Roman" w:hAnsi="Times New Roman"/>
          <w:sz w:val="24"/>
          <w:szCs w:val="24"/>
        </w:rPr>
        <w:t xml:space="preserve">2019 года </w:t>
      </w:r>
      <w:r w:rsidRPr="003A7D4A">
        <w:rPr>
          <w:rFonts w:ascii="Times New Roman" w:hAnsi="Times New Roman"/>
          <w:sz w:val="24"/>
          <w:szCs w:val="24"/>
        </w:rPr>
        <w:t xml:space="preserve">воспитанники школы и преподаватели принимали участие в следующих мероприятиях: Межмуниципальный этап областного хореографического конкурса «Краски радуги»; Зональный конкурс «Весенние переливы» исполнителей на народных инструментах (баян); Межмуниципальный хореографический конкурс второго этапа «Мы в </w:t>
      </w:r>
      <w:r w:rsidRPr="003A7D4A">
        <w:rPr>
          <w:rFonts w:ascii="Times New Roman" w:hAnsi="Times New Roman"/>
          <w:sz w:val="24"/>
          <w:szCs w:val="24"/>
        </w:rPr>
        <w:lastRenderedPageBreak/>
        <w:t xml:space="preserve">танцах. Селигер. Часть </w:t>
      </w:r>
      <w:r w:rsidRPr="003A7D4A">
        <w:rPr>
          <w:rFonts w:ascii="Times New Roman" w:hAnsi="Times New Roman"/>
          <w:sz w:val="24"/>
          <w:szCs w:val="24"/>
          <w:lang w:val="en-US"/>
        </w:rPr>
        <w:t>II</w:t>
      </w:r>
      <w:r w:rsidRPr="003A7D4A">
        <w:rPr>
          <w:rFonts w:ascii="Times New Roman" w:hAnsi="Times New Roman"/>
          <w:sz w:val="24"/>
          <w:szCs w:val="24"/>
        </w:rPr>
        <w:t>»; военно - патриотический фестиваль «</w:t>
      </w:r>
      <w:proofErr w:type="spellStart"/>
      <w:r w:rsidRPr="003A7D4A">
        <w:rPr>
          <w:rFonts w:ascii="Times New Roman" w:hAnsi="Times New Roman"/>
          <w:sz w:val="24"/>
          <w:szCs w:val="24"/>
        </w:rPr>
        <w:t>Юнармия</w:t>
      </w:r>
      <w:proofErr w:type="spellEnd"/>
      <w:r w:rsidRPr="003A7D4A">
        <w:rPr>
          <w:rFonts w:ascii="Times New Roman" w:hAnsi="Times New Roman"/>
          <w:sz w:val="24"/>
          <w:szCs w:val="24"/>
        </w:rPr>
        <w:t>. Мы – будущее России»;  Всероссийский дистанционный смежный конкурс «Звездопад и «Мир талантов»</w:t>
      </w:r>
      <w:r>
        <w:rPr>
          <w:rFonts w:ascii="Times New Roman" w:hAnsi="Times New Roman"/>
          <w:sz w:val="24"/>
          <w:szCs w:val="24"/>
        </w:rPr>
        <w:t xml:space="preserve"> и др.; а также в мероприятиях, концертных программах на территории Фировского района.</w:t>
      </w:r>
    </w:p>
    <w:p w:rsidR="004B2A49" w:rsidRPr="00BF6DD8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5A7C5B">
        <w:rPr>
          <w:rFonts w:ascii="Times New Roman" w:hAnsi="Times New Roman"/>
          <w:sz w:val="24"/>
          <w:szCs w:val="24"/>
        </w:rPr>
        <w:t>За 9 месяцев курсы повышения</w:t>
      </w:r>
      <w:r>
        <w:rPr>
          <w:rFonts w:ascii="Times New Roman" w:hAnsi="Times New Roman"/>
          <w:sz w:val="24"/>
          <w:szCs w:val="24"/>
        </w:rPr>
        <w:t xml:space="preserve"> квалификации прошли 2 человека; сумма затраченных средств </w:t>
      </w:r>
      <w:r w:rsidRPr="005A7C5B">
        <w:rPr>
          <w:rFonts w:ascii="Times New Roman" w:hAnsi="Times New Roman"/>
          <w:sz w:val="24"/>
          <w:szCs w:val="24"/>
        </w:rPr>
        <w:t>– 19,5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7C5B">
        <w:rPr>
          <w:rFonts w:ascii="Times New Roman" w:hAnsi="Times New Roman"/>
          <w:sz w:val="24"/>
          <w:szCs w:val="24"/>
        </w:rPr>
        <w:t>руб.</w:t>
      </w:r>
    </w:p>
    <w:p w:rsidR="004B2A49" w:rsidRPr="00BF6DD8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BF6DD8">
        <w:rPr>
          <w:rFonts w:ascii="Times New Roman" w:hAnsi="Times New Roman"/>
          <w:sz w:val="24"/>
          <w:szCs w:val="24"/>
        </w:rPr>
        <w:t>Для участия в различных конкурсах, фестивалях, смотрах было использов</w:t>
      </w:r>
      <w:r>
        <w:rPr>
          <w:rFonts w:ascii="Times New Roman" w:hAnsi="Times New Roman"/>
          <w:sz w:val="24"/>
          <w:szCs w:val="24"/>
        </w:rPr>
        <w:t>ано из муниципального бюджета 27,0</w:t>
      </w:r>
      <w:r w:rsidRPr="00BF6DD8">
        <w:rPr>
          <w:rFonts w:ascii="Times New Roman" w:hAnsi="Times New Roman"/>
          <w:sz w:val="24"/>
          <w:szCs w:val="24"/>
        </w:rPr>
        <w:t xml:space="preserve"> тыс. руб.</w:t>
      </w:r>
    </w:p>
    <w:p w:rsidR="004B2A49" w:rsidRDefault="004B2A49" w:rsidP="004B2A49">
      <w:pPr>
        <w:pStyle w:val="a8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B2A49" w:rsidRPr="003F45E2" w:rsidRDefault="004B2A49" w:rsidP="004B2A49">
      <w:pPr>
        <w:pStyle w:val="a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45E2">
        <w:rPr>
          <w:rFonts w:ascii="Times New Roman" w:hAnsi="Times New Roman"/>
          <w:b/>
          <w:sz w:val="24"/>
          <w:szCs w:val="24"/>
        </w:rPr>
        <w:t>ТРК «Фирово» (Телевидение и радио)</w:t>
      </w:r>
    </w:p>
    <w:p w:rsidR="004B2A49" w:rsidRPr="003A7C0A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A7C0A">
        <w:rPr>
          <w:rFonts w:ascii="Times New Roman" w:hAnsi="Times New Roman"/>
          <w:sz w:val="24"/>
          <w:szCs w:val="24"/>
        </w:rPr>
        <w:t xml:space="preserve">Приоритетная тематическая направленность телеканала «Фирово», партнёром которого является РЕН ТВ, </w:t>
      </w:r>
      <w:r w:rsidRPr="008A4252">
        <w:rPr>
          <w:rFonts w:ascii="Times New Roman" w:hAnsi="Times New Roman"/>
          <w:sz w:val="24"/>
          <w:szCs w:val="24"/>
        </w:rPr>
        <w:t>–</w:t>
      </w:r>
      <w:r w:rsidRPr="003A7C0A">
        <w:rPr>
          <w:rFonts w:ascii="Times New Roman" w:hAnsi="Times New Roman"/>
          <w:sz w:val="24"/>
          <w:szCs w:val="24"/>
        </w:rPr>
        <w:t xml:space="preserve"> новости. Кроме того, эфир телеканала включает в себя спортивные и детские передачи, образование и просвещение, музыкальные видеоклипы. В эфире телеканала «Фирово» отражаются все крупные культурные события района. </w:t>
      </w:r>
    </w:p>
    <w:p w:rsidR="004B2A49" w:rsidRPr="003A7C0A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A7C0A">
        <w:rPr>
          <w:rFonts w:ascii="Times New Roman" w:hAnsi="Times New Roman"/>
          <w:sz w:val="24"/>
          <w:szCs w:val="24"/>
        </w:rPr>
        <w:t>Успешно реализованы следующие проекты: рубрики «Правовое просвещение», «Короткой строкой», «Книжная гостиная» с детальным обзором книг и журналов, «Рукоделие». За новостями в районе можно следить не только с экрана телевизора, н</w:t>
      </w:r>
      <w:r>
        <w:rPr>
          <w:rFonts w:ascii="Times New Roman" w:hAnsi="Times New Roman"/>
          <w:sz w:val="24"/>
          <w:szCs w:val="24"/>
        </w:rPr>
        <w:t>о и на официальном сайте канала</w:t>
      </w:r>
      <w:r w:rsidRPr="003A7C0A">
        <w:rPr>
          <w:rFonts w:ascii="Times New Roman" w:hAnsi="Times New Roman"/>
          <w:sz w:val="24"/>
          <w:szCs w:val="24"/>
        </w:rPr>
        <w:t>. Телезрители имели возможность поздравить своих коллег, друзей и близких с какими-либо датами, посмотреть концертные программы, на ко</w:t>
      </w:r>
      <w:r>
        <w:rPr>
          <w:rFonts w:ascii="Times New Roman" w:hAnsi="Times New Roman"/>
          <w:sz w:val="24"/>
          <w:szCs w:val="24"/>
        </w:rPr>
        <w:t>торых не смогли присутствовать (</w:t>
      </w:r>
      <w:r w:rsidRPr="003A7C0A">
        <w:rPr>
          <w:rFonts w:ascii="Times New Roman" w:hAnsi="Times New Roman"/>
          <w:sz w:val="24"/>
          <w:szCs w:val="24"/>
        </w:rPr>
        <w:t>если через сайт, то в рубрике «Полная версия мероприятия»</w:t>
      </w:r>
      <w:r>
        <w:rPr>
          <w:rFonts w:ascii="Times New Roman" w:hAnsi="Times New Roman"/>
          <w:sz w:val="24"/>
          <w:szCs w:val="24"/>
        </w:rPr>
        <w:t>)</w:t>
      </w:r>
      <w:r w:rsidRPr="003A7C0A">
        <w:rPr>
          <w:rFonts w:ascii="Times New Roman" w:hAnsi="Times New Roman"/>
          <w:sz w:val="24"/>
          <w:szCs w:val="24"/>
        </w:rPr>
        <w:t xml:space="preserve">. </w:t>
      </w:r>
    </w:p>
    <w:p w:rsidR="004B2A49" w:rsidRPr="003A7C0A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A7C0A">
        <w:rPr>
          <w:rFonts w:ascii="Times New Roman" w:hAnsi="Times New Roman"/>
          <w:sz w:val="24"/>
          <w:szCs w:val="24"/>
        </w:rPr>
        <w:t>В связи с переходом на цифровое вещание, региональные телеканалы не готовы к вещанию в формате цифрового мультиплекса, поэтому вещание телеканала «Фирово» с 19 августа приостановлено.</w:t>
      </w:r>
      <w:r w:rsidRPr="003A7C0A">
        <w:t xml:space="preserve"> </w:t>
      </w:r>
      <w:r w:rsidRPr="003A7C0A">
        <w:rPr>
          <w:rFonts w:ascii="Times New Roman" w:hAnsi="Times New Roman"/>
          <w:sz w:val="24"/>
          <w:szCs w:val="24"/>
        </w:rPr>
        <w:t xml:space="preserve">В правительстве РФ прорабатывается тема региональных мультиплексов </w:t>
      </w:r>
      <w:r w:rsidRPr="00B9676F">
        <w:rPr>
          <w:rFonts w:ascii="Times New Roman" w:hAnsi="Times New Roman"/>
          <w:sz w:val="24"/>
          <w:szCs w:val="24"/>
        </w:rPr>
        <w:t>–</w:t>
      </w:r>
      <w:r w:rsidRPr="003A7C0A">
        <w:rPr>
          <w:rFonts w:ascii="Times New Roman" w:hAnsi="Times New Roman"/>
          <w:sz w:val="24"/>
          <w:szCs w:val="24"/>
        </w:rPr>
        <w:t xml:space="preserve"> с учётом поручения президента. </w:t>
      </w:r>
    </w:p>
    <w:p w:rsidR="004B2A49" w:rsidRPr="001C52DF" w:rsidRDefault="004B2A49" w:rsidP="004B2A49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A7C0A">
        <w:rPr>
          <w:rFonts w:ascii="Times New Roman" w:hAnsi="Times New Roman"/>
          <w:sz w:val="24"/>
          <w:szCs w:val="24"/>
        </w:rPr>
        <w:t>Радиоканал «Фирово, партнёр «Дорожное радио» вещает 24 часа в сутки, при этом собственный контент обновляется ежедневно и выходит в эфир с новостями, объявлениями, рекламами и поздравлениями в Программе «Добрый день» с 12 часов и «Добрый вечер» с 20 часов.</w:t>
      </w:r>
    </w:p>
    <w:p w:rsidR="004B2A49" w:rsidRPr="00C16308" w:rsidRDefault="004B2A49" w:rsidP="004B2A49">
      <w:pPr>
        <w:widowControl w:val="0"/>
        <w:shd w:val="clear" w:color="auto" w:fill="FFFFFF"/>
        <w:tabs>
          <w:tab w:val="left" w:pos="30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C16308">
        <w:rPr>
          <w:rFonts w:ascii="Times New Roman" w:eastAsia="Times New Roman" w:hAnsi="Times New Roman"/>
          <w:b/>
          <w:bCs/>
          <w:color w:val="000000"/>
          <w:spacing w:val="-7"/>
          <w:sz w:val="24"/>
          <w:szCs w:val="24"/>
          <w:lang w:eastAsia="ru-RU"/>
        </w:rPr>
        <w:t>В районе активно ведется физкультурно-спортивная работа.</w:t>
      </w:r>
    </w:p>
    <w:p w:rsidR="004B2A49" w:rsidRPr="00C16308" w:rsidRDefault="004B2A49" w:rsidP="004B2A49">
      <w:pPr>
        <w:widowControl w:val="0"/>
        <w:shd w:val="clear" w:color="auto" w:fill="FFFFFF"/>
        <w:tabs>
          <w:tab w:val="left" w:pos="30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24"/>
          <w:szCs w:val="24"/>
          <w:lang w:eastAsia="ru-RU"/>
        </w:rPr>
      </w:pP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На сегодняшний день в Фировском районе 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портивными занятиями охвачены 2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666 человек, что составляет 37% от общей численности населения (7097 человек от возрастной группы 3-79 лет). 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За девять месяцев 2019 года с участием спортсменов Фировского района прошло 59 спортивных соревнований и мероприятий: 29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9676F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уровня, 5 </w:t>
      </w:r>
      <w:r w:rsidRPr="00B9676F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межрайонного, 23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9676F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областного и 2 </w:t>
      </w:r>
      <w:r w:rsidRPr="00B9676F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российского. В различных соревнованиях и мероприятиях приняли участие ок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оло 1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500  человек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б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ольшую часть из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которых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составляют дети и подростки от 6 до 18 лет из общеобразовательных школ Фировского района и обучающиеся МКУДО Фировская ДЮСШ. 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 всех видов спорта, культивируемых на территории района, можно выделить волейбол, баскетбол, лыжный спорт, футбол и его разновидность </w:t>
      </w:r>
      <w:r w:rsidRPr="003B3B2A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мини-футбол.  Самым массовым видом явля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ется  футбол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Традиционно спортсмены Фировского района участвуют в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областных соревнованиях на Кубок Губернатора по игровым видам, первенств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области по мини-футболу, «Кожаный мяч» и «ЛОКОБОЛ-РЖД», «Футбол нашего двора», «Уличный красава», в  легкоатлетическом кроссе, лыжных гонках и  в региональных спортивных праздниках «Кросс Нации» и «Лыжня России». А победители районных соревнований по мини-футболу и волейболу, баскетболу и легкоатлетическому четырехборью стали постоянными участниками  общероссийских проектов среди образовательных учреждений «Мини-футбол в школу» и «Серебряный мяч», «КЭС-БАСКЕТ» и «Шиповка юных».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Также юные спортсмены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участвуют в различных многочисленных турнирах, которые ежегодно проводятся в разных городах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Тверской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области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Твер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ь, Торжок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, Вышн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ий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Волоч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ек,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Удомл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я,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Осташко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в,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Максатих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, Бологое и ЗАТО «Озерный»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Кимр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ы).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сентябре 2019 года, команды юношей и девушек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Фировского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 успешно выступили в финале общероссийского проекта «Мини-футбол в школу» 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став победителями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соревнований в возрастной группе 14-15 лет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завоевали путевки на участие в межрегиональных соревнованиях ЦФО. В августе команда девушек 13-14 лет одержала победу в областных соревнованиях «Футбол нашего двора» и получила право представить Тверскую область на Всероссийском финале, который прошел в ноябре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2019 года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Являясь победителем областного этапа  проекта «Мини-футбол в школу» сезона 2018-2019 года среди  девушек, команда Фировского района представляла Тверскую область  в межрегиональном этапе Центрального федерального округа в г. Щелково, где девушки средней возрастной группы в феврале достойно выступили  среди  команд из десяти регионов. </w:t>
      </w:r>
    </w:p>
    <w:p w:rsidR="004B2A49" w:rsidRPr="00C16308" w:rsidRDefault="004B2A49" w:rsidP="004B2A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</w:rPr>
        <w:t>В Муниципальном казенном учреждении дополнительного образования Фировской детско-юношеской спортивной школе (Фировская ДЮСШ)</w:t>
      </w:r>
      <w:r w:rsidRPr="00C163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16308">
        <w:rPr>
          <w:rFonts w:ascii="Times New Roman" w:hAnsi="Times New Roman"/>
          <w:color w:val="000000"/>
          <w:sz w:val="24"/>
          <w:szCs w:val="24"/>
        </w:rPr>
        <w:t xml:space="preserve">получают дополнительное образование спортивной направленности 240 человек,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что составляет 35% от общей численности обучающихся общеобразовательных учреждени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й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Занятия проходят на четырех отделениях по видам спорта: футбол, волейбол, баскетбол и лыжные гонки</w:t>
      </w:r>
      <w:r w:rsidRPr="00C16308">
        <w:rPr>
          <w:rFonts w:ascii="Times New Roman" w:hAnsi="Times New Roman"/>
          <w:color w:val="000000"/>
          <w:sz w:val="24"/>
          <w:szCs w:val="24"/>
        </w:rPr>
        <w:t xml:space="preserve"> для мальчико</w:t>
      </w:r>
      <w:r>
        <w:rPr>
          <w:rFonts w:ascii="Times New Roman" w:hAnsi="Times New Roman"/>
          <w:color w:val="000000"/>
          <w:sz w:val="24"/>
          <w:szCs w:val="24"/>
        </w:rPr>
        <w:t xml:space="preserve">в и девочек с 5-ти до 18 лет.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Футболом по итогам девяти месяцев 2019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года занимались 120 ребят, из них 30 девушек. Вторым видом по численности является баскетбол – 60 человек. Волейболом занимаются 15 человек, лыжными гонками </w:t>
      </w:r>
      <w:r w:rsidRPr="003B3B2A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15 человек, настольным теннисом </w:t>
      </w:r>
      <w:r w:rsidRPr="003B3B2A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30 человек.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Учебно-тренировочный процесс в ДЮСШ ведут 9 тренеров-преподавателей, из них 5 человек имеют высшее образование. Все занятия в секциях проходят на бесплатной основе. И это значительный фактор, так как в отличие от большинства городских спортивных школ в Фировской ДЮСШ могут заниматься  ребята из семей с невысоким материальным достатком. 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Возраст ребят, занимающихся в Фировской ДЮСШ, в основном, составляет: от 5 до 15 лет - 215 человек, от 16 до 18 лет - 25 человек.  Достичь высоких результатов юным спортсменам позволяет профессионализм тренеров-преподавателей, работающих с юными спортсменами.</w:t>
      </w:r>
      <w:r w:rsidRPr="00C1630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зимний период времени </w:t>
      </w:r>
      <w:r w:rsidRPr="00C16308">
        <w:rPr>
          <w:rFonts w:ascii="Times New Roman" w:hAnsi="Times New Roman"/>
          <w:color w:val="000000"/>
          <w:sz w:val="24"/>
          <w:szCs w:val="24"/>
        </w:rPr>
        <w:t>Фировск</w:t>
      </w:r>
      <w:r>
        <w:rPr>
          <w:rFonts w:ascii="Times New Roman" w:hAnsi="Times New Roman"/>
          <w:color w:val="000000"/>
          <w:sz w:val="24"/>
          <w:szCs w:val="24"/>
        </w:rPr>
        <w:t>ая</w:t>
      </w:r>
      <w:r w:rsidRPr="00C16308">
        <w:rPr>
          <w:rFonts w:ascii="Times New Roman" w:hAnsi="Times New Roman"/>
          <w:color w:val="000000"/>
          <w:sz w:val="24"/>
          <w:szCs w:val="24"/>
        </w:rPr>
        <w:t xml:space="preserve"> ДЮСШ заключает договор с работником, в обязанности которого входит обслуживание ледового катка в п. Фирово. На подготовленной ледовой площадке организовано  бесплатное пользование  коньками</w:t>
      </w: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для жителей Фировского района.</w:t>
      </w:r>
    </w:p>
    <w:p w:rsidR="004B2A49" w:rsidRPr="00C16308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Успехам спортсменов Фировского района способствует и стабильное финансирование отрасли физическая культура и спорт. За девять месяцев 2019 года на финансирование областных и районных мероприятий израсходовано 260,0 тыс. рублей (соревнования по баскетболу, волейболу, мини-футболу и футболу, лыжным гонкам и легкоатлетическому кроссу, общероссийские соревнования Мини-футбол в школу, «Кубок Губернатора», «КЭС-</w:t>
      </w:r>
      <w:proofErr w:type="spellStart"/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Баскет</w:t>
      </w:r>
      <w:proofErr w:type="spellEnd"/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»,  «</w:t>
      </w:r>
      <w:proofErr w:type="spellStart"/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>Локобол</w:t>
      </w:r>
      <w:proofErr w:type="spellEnd"/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», «Кожаный мяч», «Шиповка юных»). </w:t>
      </w:r>
    </w:p>
    <w:p w:rsidR="004B2A49" w:rsidRPr="003B3B2A" w:rsidRDefault="004B2A49" w:rsidP="004B2A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63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МКУДО Фировская ДЮСШ на обновление материально-технической базы приобретен спортивный инвентарь на  сумму 50,0  тыс. рублей за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счет средств местного бюджета. </w:t>
      </w:r>
    </w:p>
    <w:p w:rsidR="004643B9" w:rsidRPr="007D4A23" w:rsidRDefault="004643B9" w:rsidP="004643B9">
      <w:p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083D97" w:rsidRPr="00083D97" w:rsidRDefault="00083D97" w:rsidP="00083D97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 w:bidi="ru-RU"/>
        </w:rPr>
      </w:pPr>
      <w:r w:rsidRPr="00083D97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 w:bidi="ru-RU"/>
        </w:rPr>
        <w:t>МУНИЦИПАЛЬНЫЙ ЗАКАЗ</w:t>
      </w:r>
    </w:p>
    <w:p w:rsidR="00083D97" w:rsidRPr="00083D97" w:rsidRDefault="00083D97" w:rsidP="00083D97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 w:bidi="ru-RU"/>
        </w:rPr>
      </w:pPr>
    </w:p>
    <w:p w:rsidR="00083D97" w:rsidRPr="00083D97" w:rsidRDefault="00083D97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3D97">
        <w:rPr>
          <w:rFonts w:ascii="Times New Roman" w:hAnsi="Times New Roman"/>
          <w:sz w:val="24"/>
          <w:szCs w:val="24"/>
        </w:rPr>
        <w:t>По состоянию на 01.11.201</w:t>
      </w:r>
      <w:r w:rsidR="00EB2579">
        <w:rPr>
          <w:rFonts w:ascii="Times New Roman" w:hAnsi="Times New Roman"/>
          <w:sz w:val="24"/>
          <w:szCs w:val="24"/>
        </w:rPr>
        <w:t xml:space="preserve">9 </w:t>
      </w:r>
      <w:r w:rsidRPr="00083D97">
        <w:rPr>
          <w:rFonts w:ascii="Times New Roman" w:hAnsi="Times New Roman"/>
          <w:sz w:val="24"/>
          <w:szCs w:val="24"/>
        </w:rPr>
        <w:t>г. в Единой информационной системе в сфере закупок зарегистрировано 30 муниципальных заказчиков с правом размещения информации о размещении закупок и публикации сведений о муниципальных контрактах на Официальном сайте РФ, в том числе 30 основных заказчиков и 2 муниципальных унитарных предприятия. Основные, являются заказчиками по размещению закупок в рамках № 44-ФЗ, 2 предприятия  являются заказчиками по Федеральному закону №223-ФЗ «О закупках товаров, работ, услуг отдельными видами юридических лиц».</w:t>
      </w:r>
    </w:p>
    <w:p w:rsidR="00083D97" w:rsidRDefault="00083D97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3D97">
        <w:rPr>
          <w:rFonts w:ascii="Times New Roman" w:hAnsi="Times New Roman"/>
          <w:sz w:val="24"/>
          <w:szCs w:val="24"/>
        </w:rPr>
        <w:t>На 01.11.201</w:t>
      </w:r>
      <w:r w:rsidR="00EB2579">
        <w:rPr>
          <w:rFonts w:ascii="Times New Roman" w:hAnsi="Times New Roman"/>
          <w:sz w:val="24"/>
          <w:szCs w:val="24"/>
        </w:rPr>
        <w:t>9</w:t>
      </w:r>
      <w:r w:rsidRPr="00083D97">
        <w:rPr>
          <w:rFonts w:ascii="Times New Roman" w:hAnsi="Times New Roman"/>
          <w:sz w:val="24"/>
          <w:szCs w:val="24"/>
        </w:rPr>
        <w:t xml:space="preserve"> года в Единой информационной системе в сфере закупок размещено </w:t>
      </w:r>
      <w:r w:rsidR="00EB2579">
        <w:rPr>
          <w:rFonts w:ascii="Times New Roman" w:hAnsi="Times New Roman"/>
          <w:sz w:val="24"/>
          <w:szCs w:val="24"/>
        </w:rPr>
        <w:t>43</w:t>
      </w:r>
      <w:r w:rsidRPr="00083D97">
        <w:rPr>
          <w:rFonts w:ascii="Times New Roman" w:hAnsi="Times New Roman"/>
          <w:sz w:val="24"/>
          <w:szCs w:val="24"/>
        </w:rPr>
        <w:t xml:space="preserve"> закупки на общую сумму </w:t>
      </w:r>
      <w:r w:rsidR="00EB2579">
        <w:rPr>
          <w:rFonts w:ascii="Times New Roman" w:hAnsi="Times New Roman"/>
          <w:sz w:val="24"/>
          <w:szCs w:val="24"/>
        </w:rPr>
        <w:t>67707001,60</w:t>
      </w:r>
      <w:r w:rsidRPr="00083D97">
        <w:rPr>
          <w:rFonts w:ascii="Times New Roman" w:hAnsi="Times New Roman"/>
          <w:sz w:val="24"/>
          <w:szCs w:val="24"/>
        </w:rPr>
        <w:t xml:space="preserve"> руб. (по начальной (максимальной) цене контракта). За аналогичный период 2017 года была размещена </w:t>
      </w:r>
      <w:r w:rsidR="00EB2579">
        <w:rPr>
          <w:rFonts w:ascii="Times New Roman" w:hAnsi="Times New Roman"/>
          <w:sz w:val="24"/>
          <w:szCs w:val="24"/>
        </w:rPr>
        <w:t>33</w:t>
      </w:r>
      <w:r w:rsidRPr="00083D97">
        <w:rPr>
          <w:rFonts w:ascii="Times New Roman" w:hAnsi="Times New Roman"/>
          <w:sz w:val="24"/>
          <w:szCs w:val="24"/>
        </w:rPr>
        <w:t xml:space="preserve"> закупка на сумму </w:t>
      </w:r>
      <w:r w:rsidR="00EB2579" w:rsidRPr="00EB2579">
        <w:rPr>
          <w:rFonts w:ascii="Times New Roman" w:hAnsi="Times New Roman"/>
          <w:sz w:val="24"/>
          <w:szCs w:val="24"/>
        </w:rPr>
        <w:t xml:space="preserve">41826560,53 </w:t>
      </w:r>
      <w:r w:rsidRPr="00083D97">
        <w:rPr>
          <w:rFonts w:ascii="Times New Roman" w:hAnsi="Times New Roman"/>
          <w:sz w:val="24"/>
          <w:szCs w:val="24"/>
        </w:rPr>
        <w:t xml:space="preserve">руб. (по начальной максимальной цене). Электронный аукцион  в настоящее время является самым востребованным способом размещения муниципальных закупок. По результатам проведенных </w:t>
      </w:r>
      <w:r w:rsidRPr="00083D97">
        <w:rPr>
          <w:rFonts w:ascii="Times New Roman" w:hAnsi="Times New Roman"/>
          <w:sz w:val="24"/>
          <w:szCs w:val="24"/>
        </w:rPr>
        <w:lastRenderedPageBreak/>
        <w:t>процедур за истекший период</w:t>
      </w:r>
      <w:r w:rsidR="00EB2579">
        <w:rPr>
          <w:rFonts w:ascii="Times New Roman" w:hAnsi="Times New Roman"/>
          <w:sz w:val="24"/>
          <w:szCs w:val="24"/>
        </w:rPr>
        <w:t xml:space="preserve"> 2019 года заключено 33 контракта на сумму 43305722,63 руб.</w:t>
      </w:r>
      <w:r w:rsidR="00330776">
        <w:rPr>
          <w:rFonts w:ascii="Times New Roman" w:hAnsi="Times New Roman"/>
          <w:sz w:val="24"/>
          <w:szCs w:val="24"/>
        </w:rPr>
        <w:t xml:space="preserve"> </w:t>
      </w:r>
      <w:r w:rsidR="00EB2579">
        <w:rPr>
          <w:rFonts w:ascii="Times New Roman" w:hAnsi="Times New Roman"/>
          <w:sz w:val="24"/>
          <w:szCs w:val="24"/>
        </w:rPr>
        <w:t xml:space="preserve">(за аналогичный период </w:t>
      </w:r>
      <w:r w:rsidRPr="00083D97">
        <w:rPr>
          <w:rFonts w:ascii="Times New Roman" w:hAnsi="Times New Roman"/>
          <w:sz w:val="24"/>
          <w:szCs w:val="24"/>
        </w:rPr>
        <w:t>2018 года заключен 31 контр</w:t>
      </w:r>
      <w:r w:rsidR="00330776">
        <w:rPr>
          <w:rFonts w:ascii="Times New Roman" w:hAnsi="Times New Roman"/>
          <w:sz w:val="24"/>
          <w:szCs w:val="24"/>
        </w:rPr>
        <w:t xml:space="preserve">акт на сумму </w:t>
      </w:r>
      <w:r w:rsidR="00EB2579">
        <w:rPr>
          <w:rFonts w:ascii="Times New Roman" w:hAnsi="Times New Roman"/>
          <w:sz w:val="24"/>
          <w:szCs w:val="24"/>
        </w:rPr>
        <w:t>35167527,99  руб.).</w:t>
      </w:r>
    </w:p>
    <w:p w:rsidR="00083D97" w:rsidRPr="00083D97" w:rsidRDefault="00083D97" w:rsidP="0008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3D97">
        <w:rPr>
          <w:rFonts w:ascii="Times New Roman" w:hAnsi="Times New Roman"/>
          <w:sz w:val="24"/>
          <w:szCs w:val="24"/>
        </w:rPr>
        <w:t xml:space="preserve">Экономия бюджетных средств, полученная по итогам размещения заказа в </w:t>
      </w:r>
      <w:r w:rsidR="00EB2579">
        <w:rPr>
          <w:rFonts w:ascii="Times New Roman" w:hAnsi="Times New Roman"/>
          <w:sz w:val="24"/>
          <w:szCs w:val="24"/>
        </w:rPr>
        <w:t>2019 году  составила</w:t>
      </w:r>
      <w:proofErr w:type="gramEnd"/>
      <w:r w:rsidR="00EB2579">
        <w:rPr>
          <w:rFonts w:ascii="Times New Roman" w:hAnsi="Times New Roman"/>
          <w:sz w:val="24"/>
          <w:szCs w:val="24"/>
        </w:rPr>
        <w:t xml:space="preserve"> 7340053,37 руб. (в </w:t>
      </w:r>
      <w:r w:rsidRPr="00083D97">
        <w:rPr>
          <w:rFonts w:ascii="Times New Roman" w:hAnsi="Times New Roman"/>
          <w:sz w:val="24"/>
          <w:szCs w:val="24"/>
        </w:rPr>
        <w:t xml:space="preserve">2018 </w:t>
      </w:r>
      <w:r w:rsidR="00330776">
        <w:rPr>
          <w:rFonts w:ascii="Times New Roman" w:hAnsi="Times New Roman"/>
          <w:sz w:val="24"/>
          <w:szCs w:val="24"/>
        </w:rPr>
        <w:t>году составила  2360668,54 руб.).</w:t>
      </w:r>
    </w:p>
    <w:p w:rsidR="00083D97" w:rsidRPr="00083D97" w:rsidRDefault="00083D97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3D97">
        <w:rPr>
          <w:rFonts w:ascii="Times New Roman" w:hAnsi="Times New Roman"/>
          <w:sz w:val="24"/>
          <w:szCs w:val="24"/>
        </w:rPr>
        <w:t xml:space="preserve">Заключено в соответствии со ст. 30 Федерального закона №44-ФЗ с субъектами малого предпринимательства заключено </w:t>
      </w:r>
      <w:r w:rsidR="00153713">
        <w:rPr>
          <w:rFonts w:ascii="Times New Roman" w:hAnsi="Times New Roman"/>
          <w:sz w:val="24"/>
          <w:szCs w:val="24"/>
        </w:rPr>
        <w:t>20</w:t>
      </w:r>
      <w:r w:rsidRPr="00083D97">
        <w:rPr>
          <w:rFonts w:ascii="Times New Roman" w:hAnsi="Times New Roman"/>
          <w:sz w:val="24"/>
          <w:szCs w:val="24"/>
        </w:rPr>
        <w:t xml:space="preserve"> контрактов на общую сумму </w:t>
      </w:r>
      <w:r w:rsidR="00153713">
        <w:rPr>
          <w:rFonts w:ascii="Times New Roman" w:hAnsi="Times New Roman"/>
          <w:sz w:val="24"/>
          <w:szCs w:val="24"/>
        </w:rPr>
        <w:t>23481012,10</w:t>
      </w:r>
      <w:r w:rsidRPr="00083D97">
        <w:rPr>
          <w:rFonts w:ascii="Times New Roman" w:hAnsi="Times New Roman"/>
          <w:sz w:val="24"/>
          <w:szCs w:val="24"/>
        </w:rPr>
        <w:t xml:space="preserve"> руб. (по результатам электронных аукционов).</w:t>
      </w:r>
    </w:p>
    <w:p w:rsidR="00083D97" w:rsidRPr="00083D97" w:rsidRDefault="00083D97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3D97">
        <w:rPr>
          <w:rFonts w:ascii="Times New Roman" w:hAnsi="Times New Roman"/>
          <w:sz w:val="24"/>
          <w:szCs w:val="24"/>
        </w:rPr>
        <w:t>В 201</w:t>
      </w:r>
      <w:r w:rsidR="00153713">
        <w:rPr>
          <w:rFonts w:ascii="Times New Roman" w:hAnsi="Times New Roman"/>
          <w:sz w:val="24"/>
          <w:szCs w:val="24"/>
        </w:rPr>
        <w:t>9</w:t>
      </w:r>
      <w:r w:rsidRPr="00083D97">
        <w:rPr>
          <w:rFonts w:ascii="Times New Roman" w:hAnsi="Times New Roman"/>
          <w:sz w:val="24"/>
          <w:szCs w:val="24"/>
        </w:rPr>
        <w:t xml:space="preserve"> году проведена подготовка </w:t>
      </w:r>
      <w:r w:rsidR="00153713">
        <w:rPr>
          <w:rFonts w:ascii="Times New Roman" w:hAnsi="Times New Roman"/>
          <w:sz w:val="24"/>
          <w:szCs w:val="24"/>
        </w:rPr>
        <w:t>6</w:t>
      </w:r>
      <w:r w:rsidRPr="00083D97">
        <w:rPr>
          <w:rFonts w:ascii="Times New Roman" w:hAnsi="Times New Roman"/>
          <w:sz w:val="24"/>
          <w:szCs w:val="24"/>
        </w:rPr>
        <w:t xml:space="preserve"> контрактных управляющих по программе повышения квалификации: «Контрактная система в сфере закупок товаров, работ и услуг» с выдачей удостоверения о повышении квалификации</w:t>
      </w:r>
      <w:r w:rsidR="00153713">
        <w:rPr>
          <w:rFonts w:ascii="Times New Roman" w:hAnsi="Times New Roman"/>
          <w:sz w:val="24"/>
          <w:szCs w:val="24"/>
        </w:rPr>
        <w:t>.</w:t>
      </w:r>
    </w:p>
    <w:p w:rsidR="00083D97" w:rsidRPr="00083D97" w:rsidRDefault="00083D97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3D97">
        <w:rPr>
          <w:rFonts w:ascii="Times New Roman" w:hAnsi="Times New Roman"/>
          <w:sz w:val="24"/>
          <w:szCs w:val="24"/>
        </w:rPr>
        <w:t>Отдел экономики, как уполномоченный орган на осуществление функции по размещению заказов, проводит всю необходимую работу по организации электронных аукционов в Единой информационной системе в сфере закупок и автоматизированной системе торгов Сбербанк-АСТ, электронного документооборота, получению и замене электронных цифровых подписей уполномоченного органа.</w:t>
      </w:r>
    </w:p>
    <w:p w:rsidR="00083D97" w:rsidRPr="00083D97" w:rsidRDefault="00083D97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3D97">
        <w:rPr>
          <w:rFonts w:ascii="Times New Roman" w:hAnsi="Times New Roman"/>
          <w:sz w:val="24"/>
          <w:szCs w:val="24"/>
        </w:rPr>
        <w:t>В целях обеспечения единого подхода к размещению муниципального заказа уполномоченный орган не просто проводит торги, но и анализирует документацию заказчиков, оказывает помощь в разработке и направлению участникам проектов контрактов, размещает и оказывает помощь в формировании планов – графиков закупок и сведений о контрактах.</w:t>
      </w:r>
    </w:p>
    <w:p w:rsidR="00083D97" w:rsidRPr="00083D97" w:rsidRDefault="00083D97" w:rsidP="0008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3D97">
        <w:rPr>
          <w:rFonts w:ascii="Times New Roman" w:hAnsi="Times New Roman"/>
          <w:sz w:val="24"/>
          <w:szCs w:val="24"/>
        </w:rPr>
        <w:t>Система размещения муниципального заказа постоянно оптимизируется. По мере изменений нормативных правовых актов, а также с вступлением в силу новых, корректируется нормативная правовая база муниципальных закупок муниципального образования, проводятся обучающие семинары по реализации норм 44-ФЗ.</w:t>
      </w:r>
    </w:p>
    <w:p w:rsidR="00395A7E" w:rsidRPr="00395A7E" w:rsidRDefault="00395A7E" w:rsidP="00083D9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A7E" w:rsidRPr="00395A7E" w:rsidRDefault="00395A7E" w:rsidP="00083D9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A7E" w:rsidRPr="00395A7E" w:rsidRDefault="00395A7E" w:rsidP="00083D9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5A7E" w:rsidRPr="00D857C0" w:rsidRDefault="00395A7E" w:rsidP="00083D9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5A7E" w:rsidRPr="00D857C0" w:rsidRDefault="00395A7E" w:rsidP="00083D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A7E" w:rsidRPr="00083D97" w:rsidRDefault="00395A7E" w:rsidP="00083D9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5A7E" w:rsidRPr="00395A7E" w:rsidRDefault="00395A7E" w:rsidP="00083D97">
      <w:pPr>
        <w:keepNext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95A7E" w:rsidRPr="00395A7E" w:rsidSect="000255BB">
      <w:headerReference w:type="default" r:id="rId22"/>
      <w:pgSz w:w="11906" w:h="16838"/>
      <w:pgMar w:top="851" w:right="70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2F3" w:rsidRDefault="00E632F3" w:rsidP="0072225C">
      <w:pPr>
        <w:spacing w:after="0" w:line="240" w:lineRule="auto"/>
      </w:pPr>
      <w:r>
        <w:separator/>
      </w:r>
    </w:p>
  </w:endnote>
  <w:endnote w:type="continuationSeparator" w:id="0">
    <w:p w:rsidR="00E632F3" w:rsidRDefault="00E632F3" w:rsidP="0072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2F3" w:rsidRDefault="00E632F3" w:rsidP="0072225C">
      <w:pPr>
        <w:spacing w:after="0" w:line="240" w:lineRule="auto"/>
      </w:pPr>
      <w:r>
        <w:separator/>
      </w:r>
    </w:p>
  </w:footnote>
  <w:footnote w:type="continuationSeparator" w:id="0">
    <w:p w:rsidR="00E632F3" w:rsidRDefault="00E632F3" w:rsidP="00722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BC2" w:rsidRDefault="00AE0BC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C700A">
      <w:rPr>
        <w:noProof/>
      </w:rPr>
      <w:t>12</w:t>
    </w:r>
    <w:r>
      <w:fldChar w:fldCharType="end"/>
    </w:r>
  </w:p>
  <w:p w:rsidR="00AE0BC2" w:rsidRDefault="00AE0BC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BCC"/>
    <w:multiLevelType w:val="hybridMultilevel"/>
    <w:tmpl w:val="CC2C38C4"/>
    <w:lvl w:ilvl="0" w:tplc="7416F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416F9B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800EB"/>
    <w:multiLevelType w:val="multilevel"/>
    <w:tmpl w:val="A21203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3B8C2B16"/>
    <w:multiLevelType w:val="hybridMultilevel"/>
    <w:tmpl w:val="0F44EF8A"/>
    <w:lvl w:ilvl="0" w:tplc="F02E9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AD04F3"/>
    <w:multiLevelType w:val="hybridMultilevel"/>
    <w:tmpl w:val="2D60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34817"/>
    <w:multiLevelType w:val="hybridMultilevel"/>
    <w:tmpl w:val="CA768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45785"/>
    <w:multiLevelType w:val="hybridMultilevel"/>
    <w:tmpl w:val="742C619A"/>
    <w:lvl w:ilvl="0" w:tplc="D1D09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C0"/>
    <w:rsid w:val="000255BB"/>
    <w:rsid w:val="00062F34"/>
    <w:rsid w:val="00083D97"/>
    <w:rsid w:val="000B09B6"/>
    <w:rsid w:val="000B54D3"/>
    <w:rsid w:val="000C2C77"/>
    <w:rsid w:val="00120AAA"/>
    <w:rsid w:val="001252B0"/>
    <w:rsid w:val="00137147"/>
    <w:rsid w:val="00153713"/>
    <w:rsid w:val="0015765C"/>
    <w:rsid w:val="00164B45"/>
    <w:rsid w:val="001A2D52"/>
    <w:rsid w:val="001A555C"/>
    <w:rsid w:val="001C18CD"/>
    <w:rsid w:val="001E5C9A"/>
    <w:rsid w:val="00246B9F"/>
    <w:rsid w:val="00295E8E"/>
    <w:rsid w:val="002E44CE"/>
    <w:rsid w:val="00312BA0"/>
    <w:rsid w:val="00330776"/>
    <w:rsid w:val="00395A7E"/>
    <w:rsid w:val="004643B9"/>
    <w:rsid w:val="004847A4"/>
    <w:rsid w:val="004B2693"/>
    <w:rsid w:val="004B2A49"/>
    <w:rsid w:val="00533940"/>
    <w:rsid w:val="005578C8"/>
    <w:rsid w:val="00595557"/>
    <w:rsid w:val="005C3319"/>
    <w:rsid w:val="006B11E4"/>
    <w:rsid w:val="006D5C60"/>
    <w:rsid w:val="006F3190"/>
    <w:rsid w:val="0072225C"/>
    <w:rsid w:val="007A75DC"/>
    <w:rsid w:val="007D4A23"/>
    <w:rsid w:val="007F5D89"/>
    <w:rsid w:val="00823781"/>
    <w:rsid w:val="00883328"/>
    <w:rsid w:val="008D61AF"/>
    <w:rsid w:val="00952FE5"/>
    <w:rsid w:val="00994409"/>
    <w:rsid w:val="009A43F8"/>
    <w:rsid w:val="009F47E4"/>
    <w:rsid w:val="00A27C4A"/>
    <w:rsid w:val="00A4728E"/>
    <w:rsid w:val="00AE0BC2"/>
    <w:rsid w:val="00B36F1B"/>
    <w:rsid w:val="00B51DE0"/>
    <w:rsid w:val="00B55F8A"/>
    <w:rsid w:val="00BA6D31"/>
    <w:rsid w:val="00BB5EA9"/>
    <w:rsid w:val="00BC700A"/>
    <w:rsid w:val="00C1243C"/>
    <w:rsid w:val="00C95608"/>
    <w:rsid w:val="00CB66C7"/>
    <w:rsid w:val="00CC1D1A"/>
    <w:rsid w:val="00D25B59"/>
    <w:rsid w:val="00D857C0"/>
    <w:rsid w:val="00DD0118"/>
    <w:rsid w:val="00E21E1D"/>
    <w:rsid w:val="00E632F3"/>
    <w:rsid w:val="00E746AB"/>
    <w:rsid w:val="00EB2579"/>
    <w:rsid w:val="00F01DD5"/>
    <w:rsid w:val="00F06A81"/>
    <w:rsid w:val="00F40333"/>
    <w:rsid w:val="00F77B89"/>
    <w:rsid w:val="00FA3BE9"/>
    <w:rsid w:val="00FC48DD"/>
    <w:rsid w:val="00FF0E2A"/>
    <w:rsid w:val="00FF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857C0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395A7E"/>
    <w:rPr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395A7E"/>
    <w:pPr>
      <w:widowControl w:val="0"/>
      <w:shd w:val="clear" w:color="auto" w:fill="FFFFFF"/>
      <w:spacing w:before="420" w:after="0" w:line="322" w:lineRule="exact"/>
      <w:jc w:val="both"/>
    </w:pPr>
    <w:rPr>
      <w:spacing w:val="5"/>
      <w:sz w:val="25"/>
      <w:szCs w:val="25"/>
    </w:rPr>
  </w:style>
  <w:style w:type="paragraph" w:styleId="a6">
    <w:name w:val="List Paragraph"/>
    <w:basedOn w:val="a"/>
    <w:uiPriority w:val="34"/>
    <w:qFormat/>
    <w:rsid w:val="00083D97"/>
    <w:pPr>
      <w:ind w:left="720"/>
      <w:contextualSpacing/>
    </w:pPr>
  </w:style>
  <w:style w:type="character" w:styleId="a7">
    <w:name w:val="Strong"/>
    <w:uiPriority w:val="22"/>
    <w:qFormat/>
    <w:rsid w:val="001C18CD"/>
    <w:rPr>
      <w:b/>
      <w:bCs/>
    </w:rPr>
  </w:style>
  <w:style w:type="paragraph" w:styleId="a8">
    <w:name w:val="No Spacing"/>
    <w:uiPriority w:val="1"/>
    <w:qFormat/>
    <w:rsid w:val="004643B9"/>
    <w:rPr>
      <w:rFonts w:eastAsia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2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2225C"/>
  </w:style>
  <w:style w:type="paragraph" w:styleId="ab">
    <w:name w:val="footer"/>
    <w:basedOn w:val="a"/>
    <w:link w:val="ac"/>
    <w:uiPriority w:val="99"/>
    <w:unhideWhenUsed/>
    <w:rsid w:val="0072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22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857C0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395A7E"/>
    <w:rPr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395A7E"/>
    <w:pPr>
      <w:widowControl w:val="0"/>
      <w:shd w:val="clear" w:color="auto" w:fill="FFFFFF"/>
      <w:spacing w:before="420" w:after="0" w:line="322" w:lineRule="exact"/>
      <w:jc w:val="both"/>
    </w:pPr>
    <w:rPr>
      <w:spacing w:val="5"/>
      <w:sz w:val="25"/>
      <w:szCs w:val="25"/>
    </w:rPr>
  </w:style>
  <w:style w:type="paragraph" w:styleId="a6">
    <w:name w:val="List Paragraph"/>
    <w:basedOn w:val="a"/>
    <w:uiPriority w:val="34"/>
    <w:qFormat/>
    <w:rsid w:val="00083D97"/>
    <w:pPr>
      <w:ind w:left="720"/>
      <w:contextualSpacing/>
    </w:pPr>
  </w:style>
  <w:style w:type="character" w:styleId="a7">
    <w:name w:val="Strong"/>
    <w:uiPriority w:val="22"/>
    <w:qFormat/>
    <w:rsid w:val="001C18CD"/>
    <w:rPr>
      <w:b/>
      <w:bCs/>
    </w:rPr>
  </w:style>
  <w:style w:type="paragraph" w:styleId="a8">
    <w:name w:val="No Spacing"/>
    <w:uiPriority w:val="1"/>
    <w:qFormat/>
    <w:rsid w:val="004643B9"/>
    <w:rPr>
      <w:rFonts w:eastAsia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2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2225C"/>
  </w:style>
  <w:style w:type="paragraph" w:styleId="ab">
    <w:name w:val="footer"/>
    <w:basedOn w:val="a"/>
    <w:link w:val="ac"/>
    <w:uiPriority w:val="99"/>
    <w:unhideWhenUsed/>
    <w:rsid w:val="0072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22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8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chart" Target="charts/chart9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hyperlink" Target="https://rmsp.nalog.ru/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chart" Target="charts/chart7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3.xml"/><Relationship Id="rId22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97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97">
                <a:latin typeface="Times New Roman" panose="02020603050405020304" pitchFamily="18" charset="0"/>
                <a:cs typeface="Times New Roman" panose="02020603050405020304" pitchFamily="18" charset="0"/>
              </a:rPr>
              <a:t>Трудоспособное население Фировского района на 01.01.2019</a:t>
            </a:r>
          </a:p>
        </c:rich>
      </c:tx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Городское население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Мужчины (15-59 лет)</c:v>
                </c:pt>
                <c:pt idx="1">
                  <c:v>Женщины (15-54 года)</c:v>
                </c:pt>
                <c:pt idx="2">
                  <c:v>Всего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1029</c:v>
                </c:pt>
                <c:pt idx="1">
                  <c:v>866</c:v>
                </c:pt>
                <c:pt idx="2">
                  <c:v>1895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 население</c:v>
                </c:pt>
              </c:strCache>
            </c:strRef>
          </c:tx>
          <c:spPr>
            <a:pattFill prst="lgCheck">
              <a:fgClr>
                <a:srgbClr val="FF0000"/>
              </a:fgClr>
              <a:bgClr>
                <a:schemeClr val="bg1"/>
              </a:bgClr>
            </a:pattFill>
          </c:spPr>
          <c:invertIfNegative val="0"/>
          <c:cat>
            <c:strRef>
              <c:f>Лист1!$A$2:$A$4</c:f>
              <c:strCache>
                <c:ptCount val="3"/>
                <c:pt idx="0">
                  <c:v>Мужчины (15-59 лет)</c:v>
                </c:pt>
                <c:pt idx="1">
                  <c:v>Женщины (15-54 года)</c:v>
                </c:pt>
                <c:pt idx="2">
                  <c:v>Всего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1001</c:v>
                </c:pt>
                <c:pt idx="1">
                  <c:v>722</c:v>
                </c:pt>
                <c:pt idx="2">
                  <c:v>1723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gapDepth val="95"/>
        <c:shape val="box"/>
        <c:axId val="181516544"/>
        <c:axId val="181878784"/>
        <c:axId val="0"/>
      </c:bar3DChart>
      <c:catAx>
        <c:axId val="181516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81878784"/>
        <c:crosses val="autoZero"/>
        <c:auto val="1"/>
        <c:lblAlgn val="ctr"/>
        <c:lblOffset val="100"/>
        <c:noMultiLvlLbl val="0"/>
      </c:catAx>
      <c:valAx>
        <c:axId val="18187878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0.18119177655984489"/>
              <c:y val="0.4025040569754497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8151654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 w="2532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99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99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рождаемости</a:t>
            </a:r>
            <a:r>
              <a:rPr lang="ru-RU" sz="1099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и смертности по Фировскому району за период 9 месяцев соответствующего года</a:t>
            </a:r>
            <a:endParaRPr lang="ru-RU" sz="11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6689411067840611E-2"/>
          <c:y val="0.18685161375090331"/>
          <c:w val="0.65874799504228643"/>
          <c:h val="0.73330449093638628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Родилось</c:v>
                </c:pt>
              </c:strCache>
            </c:strRef>
          </c:tx>
          <c:spPr>
            <a:ln w="15856">
              <a:solidFill>
                <a:srgbClr val="FF0000"/>
              </a:solidFill>
              <a:headEnd type="diamond" w="sm" len="sm"/>
            </a:ln>
          </c:spPr>
          <c:dLbls>
            <c:dLbl>
              <c:idx val="0"/>
              <c:layout>
                <c:manualLayout>
                  <c:x val="-3.2407407407407406E-2"/>
                  <c:y val="-5.9593021891754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92592592592591E-2"/>
                  <c:y val="6.3565890017871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407407407407406E-2"/>
                  <c:y val="-6.7538758143988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670325695172433E-2"/>
                  <c:y val="-4.767441751340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7421978680305553E-2"/>
                  <c:y val="4.767441751340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9 мес. 2014 </c:v>
                </c:pt>
                <c:pt idx="1">
                  <c:v>9 мес.2015 </c:v>
                </c:pt>
                <c:pt idx="2">
                  <c:v>9 мес. 2016 </c:v>
                </c:pt>
                <c:pt idx="3">
                  <c:v>9 мес. 2017 </c:v>
                </c:pt>
                <c:pt idx="4">
                  <c:v>9 мес. 2018 </c:v>
                </c:pt>
                <c:pt idx="5">
                  <c:v>9 мес. 2019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55</c:v>
                </c:pt>
                <c:pt idx="1">
                  <c:v>62</c:v>
                </c:pt>
                <c:pt idx="2">
                  <c:v>39</c:v>
                </c:pt>
                <c:pt idx="3">
                  <c:v>40</c:v>
                </c:pt>
                <c:pt idx="4">
                  <c:v>33</c:v>
                </c:pt>
                <c:pt idx="5">
                  <c:v>26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Умерло</c:v>
                </c:pt>
              </c:strCache>
            </c:strRef>
          </c:tx>
          <c:spPr>
            <a:ln w="19027" cap="rnd">
              <a:solidFill>
                <a:srgbClr val="0070C0"/>
              </a:solidFill>
              <a:prstDash val="sysDash"/>
              <a:round/>
              <a:headEnd type="diamond"/>
              <a:tailEnd type="diamond"/>
            </a:ln>
            <a:effectLst/>
          </c:spPr>
          <c:marker>
            <c:spPr>
              <a:effectLst/>
            </c:spPr>
          </c:marker>
          <c:dLbls>
            <c:dLbl>
              <c:idx val="0"/>
              <c:layout>
                <c:manualLayout>
                  <c:x val="-5.0055718978789368E-2"/>
                  <c:y val="4.767441751340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385066437149311E-2"/>
                  <c:y val="-5.5620153765637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96296296296294E-3"/>
                  <c:y val="-1.9864340630584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96296296296294E-3"/>
                  <c:y val="-3.5755813135052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3148148148148147E-3"/>
                  <c:y val="7.945736252233956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9 мес. 2014 </c:v>
                </c:pt>
                <c:pt idx="1">
                  <c:v>9 мес.2015 </c:v>
                </c:pt>
                <c:pt idx="2">
                  <c:v>9 мес. 2016 </c:v>
                </c:pt>
                <c:pt idx="3">
                  <c:v>9 мес. 2017 </c:v>
                </c:pt>
                <c:pt idx="4">
                  <c:v>9 мес. 2018 </c:v>
                </c:pt>
                <c:pt idx="5">
                  <c:v>9 мес. 2019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145</c:v>
                </c:pt>
                <c:pt idx="1">
                  <c:v>172</c:v>
                </c:pt>
                <c:pt idx="2">
                  <c:v>135</c:v>
                </c:pt>
                <c:pt idx="3">
                  <c:v>127</c:v>
                </c:pt>
                <c:pt idx="4">
                  <c:v>125</c:v>
                </c:pt>
                <c:pt idx="5">
                  <c:v>116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1840896"/>
        <c:axId val="181895936"/>
      </c:lineChart>
      <c:catAx>
        <c:axId val="181840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99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81895936"/>
        <c:crosses val="autoZero"/>
        <c:auto val="1"/>
        <c:lblAlgn val="ctr"/>
        <c:lblOffset val="100"/>
        <c:noMultiLvlLbl val="0"/>
      </c:catAx>
      <c:valAx>
        <c:axId val="1818959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человек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18408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750429491768071"/>
          <c:y val="0.44150111005754017"/>
          <c:w val="0.19858464566929135"/>
          <c:h val="0.2229832050642487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4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257105500593972E-2"/>
          <c:y val="0.12438976377952755"/>
          <c:w val="0.6046966731898239"/>
          <c:h val="0.7582417582417582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Средняя заработная плата</c:v>
                </c:pt>
              </c:strCache>
            </c:strRef>
          </c:tx>
          <c:spPr>
            <a:solidFill>
              <a:srgbClr val="9999FF"/>
            </a:solidFill>
            <a:ln w="958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228757474303177E-2"/>
                  <c:y val="-6.075325920798362E-2"/>
                </c:manualLayout>
              </c:layout>
              <c:spPr>
                <a:noFill/>
                <a:ln w="19170">
                  <a:noFill/>
                </a:ln>
              </c:spPr>
              <c:txPr>
                <a:bodyPr/>
                <a:lstStyle/>
                <a:p>
                  <a:pPr>
                    <a:defRPr sz="604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4744965668594077E-2"/>
                  <c:y val="-6.9323419909049833E-2"/>
                </c:manualLayout>
              </c:layout>
              <c:spPr>
                <a:noFill/>
                <a:ln w="19170">
                  <a:noFill/>
                </a:ln>
              </c:spPr>
              <c:txPr>
                <a:bodyPr/>
                <a:lstStyle/>
                <a:p>
                  <a:pPr>
                    <a:defRPr sz="604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4303564504041485E-2"/>
                  <c:y val="-1.5720076410567021E-2"/>
                </c:manualLayout>
              </c:layout>
              <c:spPr>
                <a:noFill/>
                <a:ln w="19170">
                  <a:noFill/>
                </a:ln>
              </c:spPr>
              <c:txPr>
                <a:bodyPr/>
                <a:lstStyle/>
                <a:p>
                  <a:pPr>
                    <a:defRPr sz="604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338008093764919E-2"/>
                  <c:y val="-4.2837365940487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Sheet1!$B$1:$E$1</c:f>
              <c:strCache>
                <c:ptCount val="4"/>
                <c:pt idx="0">
                  <c:v>на 01.09.2016</c:v>
                </c:pt>
                <c:pt idx="1">
                  <c:v>на 01.09.2017</c:v>
                </c:pt>
                <c:pt idx="2">
                  <c:v>на 01.09.2018</c:v>
                </c:pt>
                <c:pt idx="3">
                  <c:v>на 01.09.2019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18418.599999999999</c:v>
                </c:pt>
                <c:pt idx="1">
                  <c:v>19319.599999999999</c:v>
                </c:pt>
                <c:pt idx="2">
                  <c:v>22144.1</c:v>
                </c:pt>
                <c:pt idx="3">
                  <c:v>25028.400000000001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6129792"/>
        <c:axId val="216990848"/>
        <c:axId val="0"/>
      </c:bar3DChart>
      <c:catAx>
        <c:axId val="18612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69908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6990848"/>
        <c:scaling>
          <c:orientation val="minMax"/>
        </c:scaling>
        <c:delete val="0"/>
        <c:axPos val="l"/>
        <c:majorGridlines>
          <c:spPr>
            <a:ln w="239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3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6129792"/>
        <c:crosses val="autoZero"/>
        <c:crossBetween val="between"/>
      </c:valAx>
      <c:spPr>
        <a:noFill/>
        <a:ln w="19169">
          <a:noFill/>
        </a:ln>
      </c:spPr>
    </c:plotArea>
    <c:legend>
      <c:legendPos val="r"/>
      <c:layout>
        <c:manualLayout>
          <c:xMode val="edge"/>
          <c:yMode val="edge"/>
          <c:x val="0.71624247114023865"/>
          <c:y val="0.44505499212598426"/>
          <c:w val="0.27592943050126317"/>
          <c:h val="0.10989001574803153"/>
        </c:manualLayout>
      </c:layout>
      <c:overlay val="0"/>
      <c:spPr>
        <a:noFill/>
        <a:ln w="2396">
          <a:solidFill>
            <a:srgbClr val="000000"/>
          </a:solidFill>
          <a:prstDash val="solid"/>
        </a:ln>
      </c:spPr>
      <c:txPr>
        <a:bodyPr/>
        <a:lstStyle/>
        <a:p>
          <a:pPr>
            <a:defRPr sz="55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0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2870691163604548"/>
          <c:y val="0.11409942950285248"/>
        </c:manualLayout>
      </c:layout>
      <c:overlay val="0"/>
      <c:txPr>
        <a:bodyPr/>
        <a:lstStyle/>
        <a:p>
          <a:pPr>
            <a:defRPr sz="1300" baseline="0"/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Заготовка древесины</c:v>
                </c:pt>
              </c:strCache>
            </c:strRef>
          </c:tx>
          <c:dLbls>
            <c:dLbl>
              <c:idx val="0"/>
              <c:layout>
                <c:manualLayout>
                  <c:x val="-4.6296296296296273E-2"/>
                  <c:y val="-5.94499521903796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11111111111154E-2"/>
                  <c:y val="-5.94499521903796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555555555555552E-2"/>
                  <c:y val="-6.3413282336405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9 мес. 2017</c:v>
                </c:pt>
                <c:pt idx="1">
                  <c:v>9 мес. 2018</c:v>
                </c:pt>
                <c:pt idx="2">
                  <c:v>9 мес. 2019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156.4</c:v>
                </c:pt>
                <c:pt idx="1">
                  <c:v>166.7</c:v>
                </c:pt>
                <c:pt idx="2">
                  <c:v>195.5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027712"/>
        <c:axId val="217029248"/>
      </c:lineChart>
      <c:catAx>
        <c:axId val="217027712"/>
        <c:scaling>
          <c:orientation val="minMax"/>
        </c:scaling>
        <c:delete val="0"/>
        <c:axPos val="b"/>
        <c:majorTickMark val="out"/>
        <c:minorTickMark val="none"/>
        <c:tickLblPos val="nextTo"/>
        <c:crossAx val="217029248"/>
        <c:crosses val="autoZero"/>
        <c:auto val="1"/>
        <c:lblAlgn val="ctr"/>
        <c:lblOffset val="100"/>
        <c:noMultiLvlLbl val="0"/>
      </c:catAx>
      <c:valAx>
        <c:axId val="217029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70277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9673200234036136E-4"/>
          <c:y val="0.1255262664099909"/>
          <c:w val="0.5877867207259887"/>
          <c:h val="0.8060427684844778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79"/>
          <c:dPt>
            <c:idx val="0"/>
            <c:bubble3D val="0"/>
            <c:explosion val="24"/>
          </c:dPt>
          <c:dPt>
            <c:idx val="1"/>
            <c:bubble3D val="0"/>
            <c:explosion val="38"/>
          </c:dPt>
          <c:dPt>
            <c:idx val="2"/>
            <c:bubble3D val="0"/>
            <c:explosion val="42"/>
          </c:dPt>
          <c:dPt>
            <c:idx val="3"/>
            <c:bubble3D val="0"/>
            <c:explosion val="39"/>
          </c:dPt>
          <c:dPt>
            <c:idx val="4"/>
            <c:bubble3D val="0"/>
          </c:dPt>
          <c:dPt>
            <c:idx val="5"/>
            <c:bubble3D val="0"/>
            <c:explosion val="34"/>
          </c:dPt>
          <c:dLbls>
            <c:dLbl>
              <c:idx val="0"/>
              <c:layout>
                <c:manualLayout>
                  <c:x val="2.1978844842779476E-2"/>
                  <c:y val="-4.435769790781111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010865528911266E-3"/>
                  <c:y val="-3.3192362490893294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8375528036522716E-2"/>
                  <c:y val="-1.848440073611029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8484105041274577E-2"/>
                  <c:y val="-1.156035023952767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0144986008980282E-2"/>
                  <c:y val="2.265931333482100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9204483497533822E-3"/>
                  <c:y val="-4.57412403869096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Лист1!$A$2:$A$7</c:f>
              <c:strCache>
                <c:ptCount val="6"/>
                <c:pt idx="0">
                  <c:v>обеспечение электрической энергией, газом и паром; кондиционирование воздуха</c:v>
                </c:pt>
                <c:pt idx="1">
                  <c:v>торговля оптовая и розничная; ремонт автомобильных средств и мотоциклов</c:v>
                </c:pt>
                <c:pt idx="2">
                  <c:v>государственное управление и обеспечение военной безопасности; социальное обеспечение</c:v>
                </c:pt>
                <c:pt idx="3">
                  <c:v>образование</c:v>
                </c:pt>
                <c:pt idx="4">
                  <c:v>деятельность в области здравоохранения и социальных услуг</c:v>
                </c:pt>
                <c:pt idx="5">
                  <c:v>Деятельность в области культуры, спорта, организации досуга и развлечений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0.03</c:v>
                </c:pt>
                <c:pt idx="1">
                  <c:v>0.1</c:v>
                </c:pt>
                <c:pt idx="2">
                  <c:v>7.0000000000000007E-2</c:v>
                </c:pt>
                <c:pt idx="3">
                  <c:v>7.0000000000000007E-2</c:v>
                </c:pt>
                <c:pt idx="4">
                  <c:v>0.79</c:v>
                </c:pt>
                <c:pt idx="5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24">
          <a:noFill/>
        </a:ln>
      </c:spPr>
    </c:plotArea>
    <c:legend>
      <c:legendPos val="r"/>
      <c:layout>
        <c:manualLayout>
          <c:xMode val="edge"/>
          <c:yMode val="edge"/>
          <c:x val="0.63368194834117142"/>
          <c:y val="1.3810832350409641E-2"/>
          <c:w val="0.35345710393139146"/>
          <c:h val="0.84941076087081135"/>
        </c:manualLayout>
      </c:layout>
      <c:overlay val="0"/>
      <c:txPr>
        <a:bodyPr/>
        <a:lstStyle/>
        <a:p>
          <a:pPr>
            <a:defRPr sz="800" baseline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940829700076758"/>
          <c:y val="0.12954380702412199"/>
          <c:w val="0.69512861685768712"/>
          <c:h val="0.606921505415671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субъектов МСП по видам деятельности</c:v>
                </c:pt>
              </c:strCache>
            </c:strRef>
          </c:tx>
          <c:dPt>
            <c:idx val="0"/>
            <c:bubble3D val="0"/>
            <c:explosion val="10"/>
            <c:spPr>
              <a:solidFill>
                <a:srgbClr val="FF0000"/>
              </a:solidFill>
            </c:spPr>
          </c:dPt>
          <c:dPt>
            <c:idx val="1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bg2">
                  <a:lumMod val="50000"/>
                </a:schemeClr>
              </a:solidFill>
            </c:spPr>
          </c:dPt>
          <c:dPt>
            <c:idx val="3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rgbClr val="00B050"/>
              </a:solidFill>
            </c:spPr>
          </c:dPt>
          <c:dPt>
            <c:idx val="5"/>
            <c:bubble3D val="0"/>
            <c:spPr>
              <a:solidFill>
                <a:srgbClr val="FFFF00"/>
              </a:solidFill>
            </c:spPr>
          </c:dPt>
          <c:dLbls>
            <c:dLbl>
              <c:idx val="0"/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6802242704029203E-2"/>
                  <c:y val="0.10330241625496285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3.6884593055131726E-2"/>
                  <c:y val="7.6762507258638993E-2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5.4326411019034571E-2"/>
                  <c:y val="1.74821201730214E-2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1051318515143607"/>
                  <c:y val="9.0382757209203191E-2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0.26831560041039171"/>
                  <c:y val="0.10118340304848471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0.10093120158580528"/>
                  <c:y val="-1.515073545065732E-5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Лист1!$A$2:$A$13</c:f>
              <c:strCache>
                <c:ptCount val="7"/>
                <c:pt idx="0">
                  <c:v>Оптовая и розничная торговля, ремонт автотранспортных средств, бытовых изделий и предметов личного пользования</c:v>
                </c:pt>
                <c:pt idx="1">
                  <c:v>Строительство</c:v>
                </c:pt>
                <c:pt idx="2">
                  <c:v>Обрабатывающие производства</c:v>
                </c:pt>
                <c:pt idx="3">
                  <c:v>Сельское и лесное хозяйство</c:v>
                </c:pt>
                <c:pt idx="4">
                  <c:v>Транспорт и связь</c:v>
                </c:pt>
                <c:pt idx="5">
                  <c:v>Операции с недвижимым имуществом, аренда и предоставление услуг</c:v>
                </c:pt>
                <c:pt idx="6">
                  <c:v>Прочее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46</c:v>
                </c:pt>
                <c:pt idx="1">
                  <c:v>2</c:v>
                </c:pt>
                <c:pt idx="2">
                  <c:v>9</c:v>
                </c:pt>
                <c:pt idx="3">
                  <c:v>12</c:v>
                </c:pt>
                <c:pt idx="4">
                  <c:v>20</c:v>
                </c:pt>
                <c:pt idx="5">
                  <c:v>9</c:v>
                </c:pt>
                <c:pt idx="6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100"/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крупных и средних предприятий</c:v>
                </c:pt>
              </c:strCache>
            </c:strRef>
          </c:tx>
          <c:spPr>
            <a:solidFill>
              <a:srgbClr val="C0504D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9 мес. 2018</c:v>
                </c:pt>
                <c:pt idx="4">
                  <c:v>9 мес. 2019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92.2</c:v>
                </c:pt>
                <c:pt idx="1">
                  <c:v>161.30000000000001</c:v>
                </c:pt>
                <c:pt idx="2">
                  <c:v>223.3</c:v>
                </c:pt>
                <c:pt idx="3">
                  <c:v>176.7</c:v>
                </c:pt>
                <c:pt idx="4">
                  <c:v>175.7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737024"/>
        <c:axId val="217056000"/>
      </c:barChart>
      <c:catAx>
        <c:axId val="148737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17056000"/>
        <c:crosses val="autoZero"/>
        <c:auto val="1"/>
        <c:lblAlgn val="ctr"/>
        <c:lblOffset val="100"/>
        <c:noMultiLvlLbl val="0"/>
      </c:catAx>
      <c:valAx>
        <c:axId val="2170560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руб.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873702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100"/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Отгружено товаров собственного производства, выполнено работ и услуг собственными силами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3148148148148147E-3"/>
                  <c:y val="-7.13399426284555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444444444444441E-3"/>
                  <c:y val="-4.3596631606278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9444444444445291E-3"/>
                  <c:y val="-5.5486622044354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7777777777777776E-2"/>
                  <c:y val="-5.54866220443543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9 мес. 2018</c:v>
                </c:pt>
                <c:pt idx="4">
                  <c:v>9 мес. 2019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35.299999999999997</c:v>
                </c:pt>
                <c:pt idx="1">
                  <c:v>49</c:v>
                </c:pt>
                <c:pt idx="2">
                  <c:v>41.7</c:v>
                </c:pt>
                <c:pt idx="3">
                  <c:v>28.5</c:v>
                </c:pt>
                <c:pt idx="4">
                  <c:v>27.5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17224704"/>
        <c:axId val="217226240"/>
        <c:axId val="0"/>
      </c:bar3DChart>
      <c:catAx>
        <c:axId val="217224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17226240"/>
        <c:crosses val="autoZero"/>
        <c:auto val="1"/>
        <c:lblAlgn val="ctr"/>
        <c:lblOffset val="100"/>
        <c:noMultiLvlLbl val="0"/>
      </c:catAx>
      <c:valAx>
        <c:axId val="21722624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руб.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17224704"/>
        <c:crosses val="autoZero"/>
        <c:crossBetween val="between"/>
      </c:valAx>
      <c:spPr>
        <a:noFill/>
        <a:ln w="25397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среднемесячной заработной платы в системе здравоохранения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Фировского района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Врачи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0269316978282145E-3"/>
                  <c:y val="-3.56699824458747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269316978282145E-2"/>
                  <c:y val="-1.9816656914374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1.9816656914374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0269316978282145E-2"/>
                  <c:y val="-1.9816656914374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на 01.10.2018</c:v>
                </c:pt>
                <c:pt idx="1">
                  <c:v>на 01.01.2019</c:v>
                </c:pt>
                <c:pt idx="2">
                  <c:v>на 01.10.2019</c:v>
                </c:pt>
                <c:pt idx="3">
                  <c:v>на 01.01.2020 (прогноз)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43160</c:v>
                </c:pt>
                <c:pt idx="1">
                  <c:v>45160</c:v>
                </c:pt>
                <c:pt idx="2">
                  <c:v>46740</c:v>
                </c:pt>
                <c:pt idx="3">
                  <c:v>48805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медперсонал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4188521884797502E-2"/>
                  <c:y val="-1.5853325531499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269316978282145E-2"/>
                  <c:y val="-1.9816656914374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29624867611036E-2"/>
                  <c:y val="-2.3779988297249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6350112071766789E-2"/>
                  <c:y val="-1.5853325531499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на 01.10.2018</c:v>
                </c:pt>
                <c:pt idx="1">
                  <c:v>на 01.01.2019</c:v>
                </c:pt>
                <c:pt idx="2">
                  <c:v>на 01.10.2019</c:v>
                </c:pt>
                <c:pt idx="3">
                  <c:v>на 01.01.2020 (прогноз)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19140</c:v>
                </c:pt>
                <c:pt idx="1">
                  <c:v>19810</c:v>
                </c:pt>
                <c:pt idx="2">
                  <c:v>20280</c:v>
                </c:pt>
                <c:pt idx="3">
                  <c:v>21982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Зарплата в системе здравоохранения (в целом по району)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4457838863079647E-2"/>
                  <c:y val="-1.58533255314998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2430907165251432E-2"/>
                  <c:y val="-1.98166569143748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8511702258736076E-2"/>
                  <c:y val="-2.774331968012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2700224143533578E-2"/>
                  <c:y val="-2.3779988297249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на 01.10.2018</c:v>
                </c:pt>
                <c:pt idx="1">
                  <c:v>на 01.01.2019</c:v>
                </c:pt>
                <c:pt idx="2">
                  <c:v>на 01.10.2019</c:v>
                </c:pt>
                <c:pt idx="3">
                  <c:v>на 01.01.2020 (прогноз)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20490</c:v>
                </c:pt>
                <c:pt idx="1">
                  <c:v>20600</c:v>
                </c:pt>
                <c:pt idx="2">
                  <c:v>22080</c:v>
                </c:pt>
                <c:pt idx="3">
                  <c:v>23029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78198784"/>
        <c:axId val="178221056"/>
        <c:axId val="0"/>
      </c:bar3DChart>
      <c:catAx>
        <c:axId val="17819878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8221056"/>
        <c:crosses val="autoZero"/>
        <c:auto val="1"/>
        <c:lblAlgn val="ctr"/>
        <c:lblOffset val="100"/>
        <c:noMultiLvlLbl val="0"/>
      </c:catAx>
      <c:valAx>
        <c:axId val="17822105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78198784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7D29-F1B4-4A95-9DC7-CCCEA2AD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13931</Words>
  <Characters>79411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cp:lastPrinted>2019-11-22T12:51:00Z</cp:lastPrinted>
  <dcterms:created xsi:type="dcterms:W3CDTF">2020-01-20T09:12:00Z</dcterms:created>
  <dcterms:modified xsi:type="dcterms:W3CDTF">2020-01-20T09:12:00Z</dcterms:modified>
</cp:coreProperties>
</file>