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1C7" w:rsidRDefault="00F111C7" w:rsidP="00F111C7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F111C7">
        <w:rPr>
          <w:rFonts w:ascii="Times New Roman" w:eastAsiaTheme="minorHAnsi" w:hAnsi="Times New Roman"/>
          <w:b/>
          <w:sz w:val="26"/>
          <w:szCs w:val="26"/>
        </w:rPr>
        <w:t>ПОТРЕБИТЕЛЬСКИЙ РЫНОК И МАЛОЕ ПРЕДПРИНИМАТЕЛЬСТВО</w:t>
      </w:r>
      <w:r>
        <w:rPr>
          <w:rFonts w:ascii="Times New Roman" w:eastAsiaTheme="minorHAnsi" w:hAnsi="Times New Roman"/>
          <w:b/>
          <w:sz w:val="26"/>
          <w:szCs w:val="26"/>
        </w:rPr>
        <w:t xml:space="preserve"> </w:t>
      </w:r>
    </w:p>
    <w:p w:rsidR="00F111C7" w:rsidRPr="00F111C7" w:rsidRDefault="00F111C7" w:rsidP="00F111C7">
      <w:pPr>
        <w:jc w:val="center"/>
        <w:rPr>
          <w:rFonts w:ascii="Times New Roman" w:eastAsiaTheme="minorHAnsi" w:hAnsi="Times New Roman"/>
          <w:b/>
          <w:sz w:val="26"/>
          <w:szCs w:val="26"/>
        </w:rPr>
      </w:pPr>
      <w:r>
        <w:rPr>
          <w:rFonts w:ascii="Times New Roman" w:eastAsiaTheme="minorHAnsi" w:hAnsi="Times New Roman"/>
          <w:b/>
          <w:sz w:val="26"/>
          <w:szCs w:val="26"/>
        </w:rPr>
        <w:t>(по состоянию на 01.10.2020)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Малый бизнес законом определен, как предпринимательство в рамках небольших компаний и предприятий, которые функционируют сами по себе и не входят в объединения.</w:t>
      </w:r>
      <w:r w:rsidRPr="00F111C7">
        <w:rPr>
          <w:rFonts w:asciiTheme="minorHAnsi" w:eastAsiaTheme="minorHAnsi" w:hAnsiTheme="minorHAnsi" w:cstheme="minorBidi"/>
          <w:sz w:val="26"/>
          <w:szCs w:val="26"/>
        </w:rPr>
        <w:t xml:space="preserve"> </w:t>
      </w:r>
      <w:r w:rsidRPr="00F111C7">
        <w:rPr>
          <w:rFonts w:ascii="Times New Roman" w:eastAsiaTheme="minorHAnsi" w:hAnsi="Times New Roman"/>
          <w:sz w:val="26"/>
          <w:szCs w:val="26"/>
        </w:rPr>
        <w:t>Такой вид деятельности важен для повышения качества уровня жизни человека, активного внедрения на рынок новых товаров, повышения качества услуг и создания рабочих мест.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По данным Единого реестра субъектов малого и среднего предпринимательства (далее – Реестр СМП), размещённого в открытом доступе (</w:t>
      </w:r>
      <w:hyperlink r:id="rId6" w:history="1">
        <w:r w:rsidRPr="00F111C7">
          <w:rPr>
            <w:rFonts w:ascii="Times New Roman" w:eastAsiaTheme="minorHAnsi" w:hAnsi="Times New Roman"/>
            <w:sz w:val="26"/>
            <w:szCs w:val="26"/>
            <w:u w:val="single"/>
          </w:rPr>
          <w:t>https://rmsp.nalog.ru/</w:t>
        </w:r>
      </w:hyperlink>
      <w:r w:rsidRPr="00F111C7">
        <w:rPr>
          <w:rFonts w:ascii="Times New Roman" w:eastAsiaTheme="minorHAnsi" w:hAnsi="Times New Roman"/>
          <w:sz w:val="26"/>
          <w:szCs w:val="26"/>
        </w:rPr>
        <w:t>), на территории Фировского района по состоянию на 01.10.2020 зарегистрировано 150 субъектов малого и среднего предпринимательства (далее – субъекты МСП), из которых: индивидуальных предпринимателей – 117, юридических лиц – 33 единицы. В структуре юридических лиц преобладают микропредприятия – их количество составило 28 единиц, малых предприятий – 5.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За период с 01.10.2019 по 01.10.2020 количество СМП уменьшилось на 2 единицы: ООО «Феникс» исключено из ЕГРЮЛ как недействующее юридическое лицо 19.08.2020, также 16.03.2020 прекращена деятельность ООО «Хозяюшка» в связи с ликвидацией.  Количество индивидуальных предпринимателей сохранилось на уровне 2019 года (117 единиц). На прогнозируемый период до 2023 года планируется дальнейшее увеличение численности индивидуальных предпринимателей до 122 единиц.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Структура видов экономической деятельности субъектов МСП на протяжении 2019-2020 годов существенно не меняется и наглядно представлена на рисунке:</w:t>
      </w:r>
    </w:p>
    <w:p w:rsidR="00F111C7" w:rsidRPr="009B176B" w:rsidRDefault="00F111C7" w:rsidP="00F111C7">
      <w:pPr>
        <w:jc w:val="center"/>
        <w:rPr>
          <w:rFonts w:ascii="Times New Roman" w:eastAsiaTheme="minorHAnsi" w:hAnsi="Times New Roman"/>
          <w:sz w:val="24"/>
          <w:szCs w:val="24"/>
        </w:rPr>
      </w:pPr>
      <w:r w:rsidRPr="009B176B">
        <w:rPr>
          <w:rFonts w:ascii="Times New Roman" w:eastAsiaTheme="minorHAnsi" w:hAnsi="Times New Roman"/>
          <w:noProof/>
          <w:sz w:val="24"/>
          <w:szCs w:val="24"/>
          <w:lang w:eastAsia="ru-RU"/>
        </w:rPr>
        <w:drawing>
          <wp:inline distT="0" distB="0" distL="0" distR="0" wp14:anchorId="7DCB469A" wp14:editId="7A60721C">
            <wp:extent cx="5882185" cy="3828197"/>
            <wp:effectExtent l="0" t="0" r="61595" b="203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F111C7">
        <w:rPr>
          <w:rFonts w:ascii="Times New Roman" w:eastAsiaTheme="minorHAnsi" w:hAnsi="Times New Roman"/>
          <w:sz w:val="26"/>
          <w:szCs w:val="26"/>
        </w:rPr>
        <w:lastRenderedPageBreak/>
        <w:t>По состоянию на 01.10.2020 в Фировском районе функционирует 50 магазинов, из них 30 – в городских поселениях, 20 – в сельских.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 xml:space="preserve"> Распределение магазинов по категориям товаров выглядит следующим образом: </w:t>
      </w:r>
      <w:proofErr w:type="gramStart"/>
      <w:r w:rsidRPr="00F111C7">
        <w:rPr>
          <w:rFonts w:ascii="Times New Roman" w:eastAsiaTheme="minorHAnsi" w:hAnsi="Times New Roman"/>
          <w:sz w:val="26"/>
          <w:szCs w:val="26"/>
        </w:rPr>
        <w:t>продовольственные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 xml:space="preserve"> – 5, смешанные – 29, промтоварные – 16.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F111C7">
        <w:rPr>
          <w:rFonts w:ascii="Times New Roman" w:eastAsiaTheme="minorHAnsi" w:hAnsi="Times New Roman"/>
          <w:sz w:val="26"/>
          <w:szCs w:val="26"/>
        </w:rPr>
        <w:t>По прежнему осуществляют деятельность 3 объекта общественного питания, их количество по сравнению с аналогичным периодом 2019 года не изменилось.</w:t>
      </w:r>
      <w:proofErr w:type="gramEnd"/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 xml:space="preserve">Аптечная сеть Фировского района представлена  двумя аптеками с филиалами в населенных пунктах района (ООО «Перспектива» и МУП «Фировская ЦРА №77»). Также в 4-ом квартале 2019 года открыт аптечный пункт №29 государственной аптечной сети ОГУП «Фармация». 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 xml:space="preserve">Количество нестационарных торговых объектов (павильонов) сократилось и составило по состоянию на 01.10.2020 4 единицы. Закрыты павильоны ИП </w:t>
      </w:r>
      <w:proofErr w:type="spellStart"/>
      <w:r w:rsidRPr="00F111C7">
        <w:rPr>
          <w:rFonts w:ascii="Times New Roman" w:eastAsiaTheme="minorHAnsi" w:hAnsi="Times New Roman"/>
          <w:sz w:val="26"/>
          <w:szCs w:val="26"/>
        </w:rPr>
        <w:t>Жамаловой</w:t>
      </w:r>
      <w:proofErr w:type="spellEnd"/>
      <w:r w:rsidRPr="00F111C7">
        <w:rPr>
          <w:rFonts w:ascii="Times New Roman" w:eastAsiaTheme="minorHAnsi" w:hAnsi="Times New Roman"/>
          <w:sz w:val="26"/>
          <w:szCs w:val="26"/>
        </w:rPr>
        <w:t xml:space="preserve"> Г.Т. и ИП </w:t>
      </w:r>
      <w:proofErr w:type="spellStart"/>
      <w:r w:rsidRPr="00F111C7">
        <w:rPr>
          <w:rFonts w:ascii="Times New Roman" w:eastAsiaTheme="minorHAnsi" w:hAnsi="Times New Roman"/>
          <w:sz w:val="26"/>
          <w:szCs w:val="26"/>
        </w:rPr>
        <w:t>Бойковой</w:t>
      </w:r>
      <w:proofErr w:type="spellEnd"/>
      <w:r w:rsidRPr="00F111C7">
        <w:rPr>
          <w:rFonts w:ascii="Times New Roman" w:eastAsiaTheme="minorHAnsi" w:hAnsi="Times New Roman"/>
          <w:sz w:val="26"/>
          <w:szCs w:val="26"/>
        </w:rPr>
        <w:t xml:space="preserve"> Т.С. Торговая площадь павильонов сократилась на 67,5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На протяжении последних лет в Фировском районе наблюдается сокращение торговой сети, в частности, в сельской местности, что влечёт за собой сокращение торговых площадей.</w:t>
      </w:r>
    </w:p>
    <w:p w:rsidR="00F111C7" w:rsidRPr="00F111C7" w:rsidRDefault="00F111C7" w:rsidP="00F11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По состоянию на 01.10.2020 торговая площадь магазинов (без учета нестационарных торговых объектов) по Фировскому району составила 2446,15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 За период с 01.10.2019 по 01.10.2020 значение показателя уменьшилось на 44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 xml:space="preserve">, </w:t>
      </w:r>
      <w:r w:rsidRPr="00F111C7">
        <w:rPr>
          <w:rFonts w:ascii="Times New Roman" w:eastAsiaTheme="minorHAnsi" w:hAnsi="Times New Roman"/>
          <w:sz w:val="26"/>
          <w:szCs w:val="26"/>
          <w:u w:val="single"/>
        </w:rPr>
        <w:t>закрыты следующие торговые объекты</w:t>
      </w:r>
      <w:r w:rsidRPr="00F111C7">
        <w:rPr>
          <w:rFonts w:ascii="Times New Roman" w:eastAsiaTheme="minorHAnsi" w:hAnsi="Times New Roman"/>
          <w:sz w:val="26"/>
          <w:szCs w:val="26"/>
        </w:rPr>
        <w:t>:</w:t>
      </w:r>
    </w:p>
    <w:p w:rsidR="00F111C7" w:rsidRPr="00F111C7" w:rsidRDefault="00F111C7" w:rsidP="00F111C7">
      <w:pPr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ИП Хусиянов М.М. (пос. Великооктябрьский) – 70,0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ИП Кузьмина К.Н. (д. Дубровка) – 34,0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ИП Александрова Е.Ю. (пос. Лесной) – 40,0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ИП Дмитриева О.А. (пос. Фирово) – 30,0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Фировское РАЙПО магазин «Эконом» (пос. Фирово) – 27,0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proofErr w:type="gramStart"/>
      <w:r w:rsidRPr="00F111C7">
        <w:rPr>
          <w:rFonts w:ascii="Times New Roman" w:eastAsiaTheme="minorHAnsi" w:hAnsi="Times New Roman"/>
          <w:sz w:val="26"/>
          <w:szCs w:val="26"/>
          <w:u w:val="single"/>
        </w:rPr>
        <w:t>Открыты</w:t>
      </w:r>
      <w:proofErr w:type="gramEnd"/>
      <w:r w:rsidRPr="00F111C7">
        <w:rPr>
          <w:rFonts w:ascii="Times New Roman" w:eastAsiaTheme="minorHAnsi" w:hAnsi="Times New Roman"/>
          <w:sz w:val="26"/>
          <w:szCs w:val="26"/>
          <w:u w:val="single"/>
        </w:rPr>
        <w:t xml:space="preserve"> за ра</w:t>
      </w:r>
      <w:bookmarkStart w:id="0" w:name="_GoBack"/>
      <w:bookmarkEnd w:id="0"/>
      <w:r w:rsidRPr="00F111C7">
        <w:rPr>
          <w:rFonts w:ascii="Times New Roman" w:eastAsiaTheme="minorHAnsi" w:hAnsi="Times New Roman"/>
          <w:sz w:val="26"/>
          <w:szCs w:val="26"/>
          <w:u w:val="single"/>
        </w:rPr>
        <w:t>ссматриваемый период</w:t>
      </w:r>
      <w:r w:rsidRPr="00F111C7">
        <w:rPr>
          <w:rFonts w:ascii="Times New Roman" w:eastAsiaTheme="minorHAnsi" w:hAnsi="Times New Roman"/>
          <w:sz w:val="26"/>
          <w:szCs w:val="26"/>
        </w:rPr>
        <w:t>:</w:t>
      </w:r>
    </w:p>
    <w:p w:rsidR="00F111C7" w:rsidRPr="00F111C7" w:rsidRDefault="00F111C7" w:rsidP="00F111C7">
      <w:pPr>
        <w:numPr>
          <w:ilvl w:val="1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Фировское РАЙПО магазин «Эконом» (пос. Фирово) – 27,0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ИП Орлова В.А. (д. Ходуново) – 20,0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Фировское РАЙПО (д. Дубровка) – 50,0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numPr>
          <w:ilvl w:val="1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ИП Расулова О.Б. (с. Рождество) – 36,0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.</w:t>
      </w:r>
    </w:p>
    <w:p w:rsidR="00F111C7" w:rsidRPr="00F111C7" w:rsidRDefault="00F111C7" w:rsidP="00F111C7">
      <w:pPr>
        <w:tabs>
          <w:tab w:val="left" w:pos="993"/>
        </w:tabs>
        <w:spacing w:after="0" w:line="240" w:lineRule="auto"/>
        <w:ind w:left="390" w:firstLine="31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Увеличили торговую площадь:</w:t>
      </w:r>
    </w:p>
    <w:p w:rsidR="00F111C7" w:rsidRPr="00F111C7" w:rsidRDefault="00F111C7" w:rsidP="00F111C7">
      <w:pPr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ООО «Гризли» (пос. Великооктябрьский) - на 24,0 м</w:t>
      </w:r>
      <w:proofErr w:type="gramStart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>2</w:t>
      </w:r>
      <w:proofErr w:type="gramEnd"/>
      <w:r w:rsidRPr="00F111C7">
        <w:rPr>
          <w:rFonts w:ascii="Times New Roman" w:eastAsiaTheme="minorHAnsi" w:hAnsi="Times New Roman"/>
          <w:sz w:val="26"/>
          <w:szCs w:val="26"/>
          <w:vertAlign w:val="superscript"/>
        </w:rPr>
        <w:t xml:space="preserve"> </w:t>
      </w:r>
      <w:r w:rsidRPr="00F111C7">
        <w:rPr>
          <w:rFonts w:ascii="Times New Roman" w:eastAsiaTheme="minorHAnsi" w:hAnsi="Times New Roman"/>
          <w:sz w:val="26"/>
          <w:szCs w:val="26"/>
        </w:rPr>
        <w:t>за счёт объединения с частью торгового объекта ИП Хусиянов М.М.</w:t>
      </w:r>
    </w:p>
    <w:p w:rsidR="00F111C7" w:rsidRPr="00F111C7" w:rsidRDefault="00F111C7" w:rsidP="00F11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>С 01.07.2020 года Тверская область вошла в число субъектов РФ, в которых проводится эксперимент по установлению специального налогового режима для самозанятых граждан – «Налог на профессиональный доход». Согласно информации, полученной от Межрайонной ИФНС России №3 по Тверской области, количество зарегистрированных самозанятых граждан по Фировскому району (по состоянию на 13.08.2020) составляет 30 человек. На прогнозируемый период до 2023 года планируется увеличение показателя до 45 единиц.</w:t>
      </w:r>
    </w:p>
    <w:p w:rsidR="00F111C7" w:rsidRPr="00F111C7" w:rsidRDefault="00F111C7" w:rsidP="00F11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 xml:space="preserve">За 9 месяцев 2020 года в Фировском районе  отмечается увеличение по сравнению с аналогичным периодом прошлого года  физической массы оборота розничной торговли по  крупным и средним предприятиям района, который в действующих ценах на 01.10.2020 составил 210,8 млн.руб. или 132,5% к уровню соответствующего периода прошлого года. 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 xml:space="preserve">Оборот общественного питания по крупным и средним предприятиям уменьшился и составил по состоянию на 01.10.2020 208,2 тыс. руб. или 15,4% от </w:t>
      </w: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уровня соответствующего периода 2019 года. Существенное снижение показателя обусловлено тем, что в условиях распространения коронавирусной инфекции школы Фировского района с апреля по май 2020 года были переведены в режим дистанционного обучения. Прочие объекты общественного питания не осуществляли деятельность с 28.03.2020 по 20.06.2020. 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 xml:space="preserve">В рамках внедрения на территории Тверской области стандарта развития конкуренции в ноябре 2020 года проводится анкетирование среди населения и представителей бизнеса Фировского района. На основе анализа результатов анкетирования будет подготовлен </w:t>
      </w:r>
      <w:r w:rsidRPr="00F111C7">
        <w:rPr>
          <w:rFonts w:ascii="Times New Roman" w:eastAsiaTheme="minorHAnsi" w:hAnsi="Times New Roman"/>
          <w:sz w:val="26"/>
          <w:szCs w:val="26"/>
        </w:rPr>
        <w:t>Доклад  о состоянии  и развитии конкурентной среды на рынках товаров и услуг муниципального образования Фировский район Тверской области. Основными целями проводимой работы, как на уровне Тверского региона, так и на муниципальном уровне, являются: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- повышение удовлетворенности потребителей качеством потребляемых товаров, работ и услуг;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- повышение экономической эффективности и конкурентоспособности хозяйствующих субъектов;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- стабильный рост и развитие многоукладной экономики.</w:t>
      </w:r>
    </w:p>
    <w:p w:rsidR="00F111C7" w:rsidRPr="00F111C7" w:rsidRDefault="00F111C7" w:rsidP="00F111C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>Отделом экономики Администрации Фировского района ежемесячно проводится мониторинг цен на социально значимый набор товаров, продукцию сельскохозяйственного происхождения, а также на бензин и дизельное топливо.</w:t>
      </w:r>
    </w:p>
    <w:p w:rsidR="00F111C7" w:rsidRPr="00F111C7" w:rsidRDefault="00F111C7" w:rsidP="00F111C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Губернатора Тверской области от 17.03.2020 №16-пг в Тверской области введён режим повышенной готовности в связи с распространением коронавирусной инфекции. </w:t>
      </w:r>
      <w:proofErr w:type="spellStart"/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>Минпромторгом</w:t>
      </w:r>
      <w:proofErr w:type="spellEnd"/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 xml:space="preserve"> РФ разработана  информационная система мониторинга цен и запасов товаров первой необходимости. Отделом экономики еженедельно осуществляется ввод данных о ценах и наличии товаров первой необходимости в торговых объектах Фировского района. До 14.07.2020 данные в систему вносились ежедневно.</w:t>
      </w:r>
    </w:p>
    <w:p w:rsidR="00F111C7" w:rsidRPr="00F111C7" w:rsidRDefault="00F111C7" w:rsidP="00F111C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11C7">
        <w:rPr>
          <w:rFonts w:ascii="Times New Roman" w:eastAsia="Times New Roman" w:hAnsi="Times New Roman"/>
          <w:sz w:val="26"/>
          <w:szCs w:val="26"/>
          <w:lang w:eastAsia="ru-RU"/>
        </w:rPr>
        <w:t>Также в условиях неблагоприятной эпидемиологической обстановки отдел экономики еженедельно осуществляет мониторинг наличия и цен на санитарно-гигиенические маски и дезинфицирующие средства в аптечных учреждениях Фировского района.</w:t>
      </w:r>
    </w:p>
    <w:p w:rsidR="00F111C7" w:rsidRPr="00F111C7" w:rsidRDefault="00F111C7" w:rsidP="00F111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 xml:space="preserve">С целью повышения эффективности работы по поддержке малого и среднего предпринимательства, координации совместных действий по основным направлениям развития бизнеса, создан и функционирует Координационный совет по развитию малого и среднего предпринимательства при Администрации Фировского района. </w:t>
      </w:r>
      <w:proofErr w:type="gramStart"/>
      <w:r w:rsidRPr="00F111C7">
        <w:rPr>
          <w:rFonts w:ascii="Times New Roman" w:eastAsiaTheme="minorHAnsi" w:hAnsi="Times New Roman"/>
          <w:sz w:val="26"/>
          <w:szCs w:val="26"/>
        </w:rPr>
        <w:t>Основными вопросами, рассмотренными на заседаниях Координационного совета за период с 01.10.2019 по 01.10.2020 являются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 xml:space="preserve">: </w:t>
      </w:r>
    </w:p>
    <w:p w:rsidR="00F111C7" w:rsidRPr="00F111C7" w:rsidRDefault="00F111C7" w:rsidP="00F111C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 xml:space="preserve">Изменения налогового законодательства в 2020-2021 годах, в частности </w:t>
      </w:r>
      <w:proofErr w:type="gramStart"/>
      <w:r w:rsidRPr="00F111C7">
        <w:rPr>
          <w:rFonts w:ascii="Times New Roman" w:eastAsiaTheme="minorHAnsi" w:hAnsi="Times New Roman"/>
          <w:sz w:val="26"/>
          <w:szCs w:val="26"/>
        </w:rPr>
        <w:t>–в</w:t>
      </w:r>
      <w:proofErr w:type="gramEnd"/>
      <w:r w:rsidRPr="00F111C7">
        <w:rPr>
          <w:rFonts w:ascii="Times New Roman" w:eastAsiaTheme="minorHAnsi" w:hAnsi="Times New Roman"/>
          <w:sz w:val="26"/>
          <w:szCs w:val="26"/>
        </w:rPr>
        <w:t>несение изменений в ст.2 Закона Тверской области «О патентной системе налогообложения в Тверской области» и отмена специального налогового режима ЕНВД с 01.01.2021.</w:t>
      </w:r>
    </w:p>
    <w:p w:rsidR="00F111C7" w:rsidRPr="00F111C7" w:rsidRDefault="00F111C7" w:rsidP="00F111C7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 xml:space="preserve">Меры государственной поддержки субъектов МСП, оказываемые институтами развития. 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 xml:space="preserve">В целях обеспечения устойчивого развития экономики в муниципальном образовании Фировский район разработана, утверждена и реализуется муниципальная программа «Развитие инвестиционного потенциала, предпринимательства и агропромышленного комплекса» на 2020-2022 годы (далее – муниципальная программа). Развитие экономического потенциала территории, </w:t>
      </w:r>
      <w:r w:rsidRPr="00F111C7">
        <w:rPr>
          <w:rFonts w:ascii="Times New Roman" w:eastAsiaTheme="minorHAnsi" w:hAnsi="Times New Roman"/>
          <w:sz w:val="26"/>
          <w:szCs w:val="26"/>
        </w:rPr>
        <w:lastRenderedPageBreak/>
        <w:t>улучшение качества жизни населения определены приоритетными задачами муниципальной политики. Реализация подпрограммы 2 «Развитие малого и среднего предпринимательства в Фировском районе Тверской области» названной муниципальной программы связана с решением следующих задач: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а) «Популяризация предпринимательства»;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б) «Совершенствование системы  закупок,  осуществляемых  заказчиками Фировского района  у  субъектов  малого  и  среднего предпринимательства,  включая индивидуальных предпринимателей»;</w:t>
      </w:r>
    </w:p>
    <w:p w:rsidR="00F111C7" w:rsidRPr="00F111C7" w:rsidRDefault="00F111C7" w:rsidP="00F111C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F111C7">
        <w:rPr>
          <w:rFonts w:ascii="Times New Roman" w:eastAsiaTheme="minorHAnsi" w:hAnsi="Times New Roman"/>
          <w:sz w:val="26"/>
          <w:szCs w:val="26"/>
        </w:rPr>
        <w:t>в) «Расширение состава перечня муниципального имущества, включая земельные участки, предназначенного для предоставления в аренду субъектам малого и среднего предпринимательства».</w:t>
      </w:r>
    </w:p>
    <w:p w:rsidR="00220BB6" w:rsidRPr="00F111C7" w:rsidRDefault="00220BB6">
      <w:pPr>
        <w:rPr>
          <w:sz w:val="26"/>
          <w:szCs w:val="26"/>
        </w:rPr>
      </w:pPr>
    </w:p>
    <w:sectPr w:rsidR="00220BB6" w:rsidRPr="00F11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D6474"/>
    <w:multiLevelType w:val="multilevel"/>
    <w:tmpl w:val="541AF1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  <w:color w:val="FF0000"/>
      </w:rPr>
    </w:lvl>
  </w:abstractNum>
  <w:abstractNum w:abstractNumId="1">
    <w:nsid w:val="1A9800EB"/>
    <w:multiLevelType w:val="multilevel"/>
    <w:tmpl w:val="A21203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0D2309E"/>
    <w:multiLevelType w:val="hybridMultilevel"/>
    <w:tmpl w:val="DD0A8CFC"/>
    <w:lvl w:ilvl="0" w:tplc="0ABE93E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C921BF"/>
    <w:multiLevelType w:val="multilevel"/>
    <w:tmpl w:val="3410DB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FF000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C7"/>
    <w:rsid w:val="00220BB6"/>
    <w:rsid w:val="00F1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msp.nalog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7940829700076758"/>
          <c:y val="0.12954380702412199"/>
          <c:w val="0.69512861685768712"/>
          <c:h val="0.6069215054156718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субъектов МСП по видам деятельности</c:v>
                </c:pt>
              </c:strCache>
            </c:strRef>
          </c:tx>
          <c:dPt>
            <c:idx val="0"/>
            <c:bubble3D val="0"/>
            <c:explosion val="10"/>
            <c:spPr>
              <a:solidFill>
                <a:srgbClr val="FF0000"/>
              </a:solidFill>
            </c:spPr>
          </c:dPt>
          <c:dPt>
            <c:idx val="1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bg2">
                  <a:lumMod val="50000"/>
                </a:schemeClr>
              </a:solidFill>
            </c:spPr>
          </c:dPt>
          <c:dPt>
            <c:idx val="3"/>
            <c:bubble3D val="0"/>
            <c:spPr>
              <a:solidFill>
                <a:schemeClr val="accent6">
                  <a:lumMod val="75000"/>
                </a:schemeClr>
              </a:solidFill>
            </c:spPr>
          </c:dPt>
          <c:dPt>
            <c:idx val="4"/>
            <c:bubble3D val="0"/>
            <c:spPr>
              <a:solidFill>
                <a:srgbClr val="00B050"/>
              </a:solidFill>
            </c:spPr>
          </c:dPt>
          <c:dPt>
            <c:idx val="5"/>
            <c:bubble3D val="0"/>
            <c:spPr>
              <a:solidFill>
                <a:srgbClr val="FFFF00"/>
              </a:solidFill>
            </c:spPr>
          </c:dPt>
          <c:dLbls>
            <c:dLbl>
              <c:idx val="0"/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7.6802242704029203E-2"/>
                  <c:y val="0.10330241625496285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3.6884593055131726E-2"/>
                  <c:y val="7.6762507258638993E-2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5.4326411019034571E-2"/>
                  <c:y val="1.74821201730214E-2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1051318515143607"/>
                  <c:y val="9.0382757209203191E-2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26831560041039171"/>
                  <c:y val="0.10118340304848471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0.10093120158580528"/>
                  <c:y val="-1.515073545065732E-5"/>
                </c:manualLayout>
              </c:layout>
              <c:spPr/>
              <c:txPr>
                <a:bodyPr/>
                <a:lstStyle/>
                <a:p>
                  <a:pPr>
                    <a:defRPr sz="900">
                      <a:latin typeface="Times New Roman" panose="02020603050405020304" pitchFamily="18" charset="0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Лист1!$A$2:$A$13</c:f>
              <c:strCache>
                <c:ptCount val="7"/>
                <c:pt idx="0">
                  <c:v>Оптовая и розничная торговля, ремонт автотранспортных средств, бытовых изделий и предметов личного пользования</c:v>
                </c:pt>
                <c:pt idx="1">
                  <c:v>Строительство</c:v>
                </c:pt>
                <c:pt idx="2">
                  <c:v>Обрабатывающие производства</c:v>
                </c:pt>
                <c:pt idx="3">
                  <c:v>Сельское и лесное хозяйство</c:v>
                </c:pt>
                <c:pt idx="4">
                  <c:v>Транспорт и связь</c:v>
                </c:pt>
                <c:pt idx="5">
                  <c:v>Операции с недвижимым имуществом, аренда и предоставление услуг</c:v>
                </c:pt>
                <c:pt idx="6">
                  <c:v>Прочее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46</c:v>
                </c:pt>
                <c:pt idx="1">
                  <c:v>2</c:v>
                </c:pt>
                <c:pt idx="2">
                  <c:v>9</c:v>
                </c:pt>
                <c:pt idx="3">
                  <c:v>12</c:v>
                </c:pt>
                <c:pt idx="4">
                  <c:v>20</c:v>
                </c:pt>
                <c:pt idx="5">
                  <c:v>9</c:v>
                </c:pt>
                <c:pt idx="6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2021-02-12T12:51:00Z</dcterms:created>
  <dcterms:modified xsi:type="dcterms:W3CDTF">2021-02-12T12:53:00Z</dcterms:modified>
</cp:coreProperties>
</file>