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DC" w:rsidRDefault="005505DC" w:rsidP="005505DC">
      <w:pPr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М</w:t>
      </w:r>
      <w:r w:rsidRPr="005505DC">
        <w:rPr>
          <w:rFonts w:eastAsiaTheme="minorHAnsi"/>
          <w:b/>
          <w:sz w:val="24"/>
          <w:szCs w:val="24"/>
          <w:lang w:eastAsia="en-US"/>
        </w:rPr>
        <w:t>алое предпринимательство</w:t>
      </w:r>
      <w:r>
        <w:rPr>
          <w:rFonts w:eastAsiaTheme="minorHAnsi"/>
          <w:b/>
          <w:sz w:val="24"/>
          <w:szCs w:val="24"/>
          <w:lang w:eastAsia="en-US"/>
        </w:rPr>
        <w:t xml:space="preserve"> (на 01.01.2017)</w:t>
      </w:r>
    </w:p>
    <w:p w:rsidR="005505DC" w:rsidRPr="005505DC" w:rsidRDefault="005505DC" w:rsidP="005505DC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5505DC" w:rsidRPr="005505DC" w:rsidRDefault="005505DC" w:rsidP="0085782C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505DC">
        <w:rPr>
          <w:sz w:val="24"/>
          <w:szCs w:val="24"/>
        </w:rPr>
        <w:t>Анализ состояния развития предпринимательства и потребительского рынка Фировского района  позволяет сделать вывод, что данная отрасль развивается стабильно.</w:t>
      </w:r>
    </w:p>
    <w:p w:rsidR="005505DC" w:rsidRDefault="005505DC" w:rsidP="0085782C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505DC">
        <w:rPr>
          <w:sz w:val="24"/>
          <w:szCs w:val="24"/>
        </w:rPr>
        <w:t xml:space="preserve">На территории района зарегистрирован 141 субъект малого и среднего предпринимательства, в том числе, 102 </w:t>
      </w:r>
      <w:proofErr w:type="gramStart"/>
      <w:r w:rsidRPr="005505DC">
        <w:rPr>
          <w:sz w:val="24"/>
          <w:szCs w:val="24"/>
        </w:rPr>
        <w:t>индивидуальных</w:t>
      </w:r>
      <w:proofErr w:type="gramEnd"/>
      <w:r w:rsidRPr="005505DC">
        <w:rPr>
          <w:sz w:val="24"/>
          <w:szCs w:val="24"/>
        </w:rPr>
        <w:t xml:space="preserve"> предпринимателя. Доминирующим сектором в структуре видов деятельности индивидуальных предпринимателей является розничная торговля.</w:t>
      </w:r>
    </w:p>
    <w:p w:rsidR="0085782C" w:rsidRDefault="005505DC" w:rsidP="00977AB1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Структура малых предприятий по виду экономической деятельности наглядно представлена на рисунке:</w:t>
      </w:r>
    </w:p>
    <w:p w:rsidR="005505DC" w:rsidRDefault="005505DC" w:rsidP="0085782C">
      <w:pPr>
        <w:shd w:val="clear" w:color="auto" w:fill="FFFFFF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69021" cy="3197157"/>
            <wp:effectExtent l="0" t="0" r="17780" b="2286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505DC" w:rsidRPr="005505DC" w:rsidRDefault="005505DC" w:rsidP="0085782C">
      <w:pPr>
        <w:shd w:val="clear" w:color="auto" w:fill="FFFFFF"/>
        <w:jc w:val="both"/>
        <w:rPr>
          <w:sz w:val="24"/>
          <w:szCs w:val="24"/>
        </w:rPr>
      </w:pPr>
    </w:p>
    <w:p w:rsidR="005505DC" w:rsidRDefault="005505DC" w:rsidP="0085782C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505DC">
        <w:rPr>
          <w:sz w:val="24"/>
          <w:szCs w:val="24"/>
        </w:rPr>
        <w:t xml:space="preserve">В Фировском районе </w:t>
      </w:r>
      <w:r w:rsidR="0085782C">
        <w:rPr>
          <w:sz w:val="24"/>
          <w:szCs w:val="24"/>
        </w:rPr>
        <w:t>по состоянию на 01.01.2017</w:t>
      </w:r>
      <w:r w:rsidRPr="005505DC">
        <w:rPr>
          <w:sz w:val="24"/>
          <w:szCs w:val="24"/>
        </w:rPr>
        <w:t xml:space="preserve"> функционируют 73 магазина, (в т. ч. продовольственных – 9 ед., смешанных – 47 ед., промтоварных – 17 ед.), 4 объекта общественного питания, 12 павильонов, 2 аптеки с филиалами, расположенными в населенных пунктах района. Торговая сеть пополнилась магазин</w:t>
      </w:r>
      <w:r w:rsidR="00977AB1">
        <w:rPr>
          <w:sz w:val="24"/>
          <w:szCs w:val="24"/>
        </w:rPr>
        <w:t>ами</w:t>
      </w:r>
      <w:r w:rsidRPr="005505DC">
        <w:rPr>
          <w:sz w:val="24"/>
          <w:szCs w:val="24"/>
        </w:rPr>
        <w:t xml:space="preserve"> сетевой торговли: в 201</w:t>
      </w:r>
      <w:r w:rsidR="00977AB1">
        <w:rPr>
          <w:sz w:val="24"/>
          <w:szCs w:val="24"/>
        </w:rPr>
        <w:t>5</w:t>
      </w:r>
      <w:r w:rsidRPr="005505DC">
        <w:rPr>
          <w:sz w:val="24"/>
          <w:szCs w:val="24"/>
        </w:rPr>
        <w:t xml:space="preserve"> году открыт магазин «</w:t>
      </w:r>
      <w:r w:rsidR="00977AB1">
        <w:rPr>
          <w:sz w:val="24"/>
          <w:szCs w:val="24"/>
        </w:rPr>
        <w:t>Дикси</w:t>
      </w:r>
      <w:r w:rsidRPr="005505DC">
        <w:rPr>
          <w:sz w:val="24"/>
          <w:szCs w:val="24"/>
        </w:rPr>
        <w:t xml:space="preserve">» в п. </w:t>
      </w:r>
      <w:r w:rsidR="00977AB1">
        <w:rPr>
          <w:sz w:val="24"/>
          <w:szCs w:val="24"/>
        </w:rPr>
        <w:t>Великооктябрьский, а в 2016 году – супермаркет «Пятерочка» в п. Фирово</w:t>
      </w:r>
      <w:r w:rsidRPr="005505DC">
        <w:rPr>
          <w:sz w:val="24"/>
          <w:szCs w:val="24"/>
        </w:rPr>
        <w:t>.</w:t>
      </w:r>
      <w:r w:rsidR="00977AB1">
        <w:rPr>
          <w:sz w:val="24"/>
          <w:szCs w:val="24"/>
        </w:rPr>
        <w:t xml:space="preserve"> Именно появлением сетевых магазинов в Фировском районе можно объяснить увеличение торговых площадей по сравнению с 2014 годом, что </w:t>
      </w:r>
      <w:bookmarkStart w:id="0" w:name="_GoBack"/>
      <w:bookmarkEnd w:id="0"/>
      <w:r w:rsidR="00977AB1">
        <w:rPr>
          <w:sz w:val="24"/>
          <w:szCs w:val="24"/>
        </w:rPr>
        <w:t>наглядно представлено на рисунке.</w:t>
      </w:r>
    </w:p>
    <w:p w:rsidR="00923058" w:rsidRPr="005505DC" w:rsidRDefault="00923058" w:rsidP="00977AB1">
      <w:p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59813" cy="2088204"/>
            <wp:effectExtent l="0" t="0" r="22225" b="266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505DC" w:rsidRPr="005505DC" w:rsidRDefault="005505DC" w:rsidP="0085782C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505DC">
        <w:rPr>
          <w:sz w:val="24"/>
          <w:szCs w:val="24"/>
        </w:rPr>
        <w:lastRenderedPageBreak/>
        <w:t>На основании Постановления Правительства Тверской области от 18.10.2011 №87-пп «Об утверждении нормативов минимальной обеспеченности населения Тверской области площадью торговых объектов» суммарный норматив минимальной обеспеченности населения площадью торговых объектов по Фировскому району - 250 кв. м. на 1000 человек. Фактическая обеспеченность населения площадью торговых объектов составляет  537,1 кв. м на 1000 чел., что в 2 раза выше нормативной.</w:t>
      </w:r>
    </w:p>
    <w:p w:rsidR="005505DC" w:rsidRPr="005505DC" w:rsidRDefault="005505DC" w:rsidP="0085782C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505DC">
        <w:rPr>
          <w:sz w:val="24"/>
          <w:szCs w:val="24"/>
        </w:rPr>
        <w:t>В целом, по Фировскому району оборот розничной торговли по крупным и средним предприятиям за 2016 год составил 96,3 млн. рублей (240 % к соответствующему периоду прошлого года). Оборот общественного питания по крупным и средним предприятиям составил 2,7 млн. рублей (101% к соответствующему периоду прошлого года).</w:t>
      </w:r>
    </w:p>
    <w:p w:rsidR="005505DC" w:rsidRPr="005505DC" w:rsidRDefault="005505DC" w:rsidP="0085782C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505DC">
        <w:rPr>
          <w:sz w:val="24"/>
          <w:szCs w:val="24"/>
        </w:rPr>
        <w:t>Администрацией Фировского района ежемесячно проводятся ценовые мониторинги на социально значимый набор продуктов, а также на бензин, алкоголь и дизтопливо.</w:t>
      </w:r>
    </w:p>
    <w:p w:rsidR="005505DC" w:rsidRPr="005505DC" w:rsidRDefault="005505DC" w:rsidP="0085782C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505DC">
        <w:rPr>
          <w:rFonts w:eastAsia="Calibri"/>
          <w:sz w:val="24"/>
          <w:szCs w:val="24"/>
          <w:lang w:eastAsia="en-US"/>
        </w:rPr>
        <w:t>Для упорядочивания ярмарочной деятельности определены места и сроки проведения ярмарок. По мелкорозничной торговле разработана и утверждена схема размещения нестационарных торговых объектов на территории Фировского района. Установлены границы территорий, на которых запрещена торговля алкогольной продукцией по МО «Фировский район».</w:t>
      </w:r>
    </w:p>
    <w:p w:rsidR="005505DC" w:rsidRPr="005505DC" w:rsidRDefault="005505DC" w:rsidP="0085782C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505DC">
        <w:rPr>
          <w:rFonts w:eastAsia="Calibri"/>
          <w:sz w:val="24"/>
          <w:szCs w:val="24"/>
          <w:lang w:eastAsia="en-US"/>
        </w:rPr>
        <w:t>В 2016 году освоен новый вид ярмарочной деятельности - сельскохозяйственные ярмарки. Были проведены две тематические ярмарки - «Весна-2016» и «Осень-2016», на которых был представлен широкий ассортимент продовольственных и непродовольственных товаров, семян, саженцев и рассады.</w:t>
      </w:r>
    </w:p>
    <w:p w:rsidR="005505DC" w:rsidRPr="005505DC" w:rsidRDefault="005505DC" w:rsidP="0085782C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505DC">
        <w:rPr>
          <w:rFonts w:eastAsia="Calibri"/>
          <w:sz w:val="24"/>
          <w:szCs w:val="24"/>
          <w:lang w:eastAsia="en-US"/>
        </w:rPr>
        <w:t xml:space="preserve">На протяжении нескольких лет в трех поселениях района функционируют деловые информационные центры, которые обеспечивают полное и оперативное удовлетворение информационных запросов, организуют доступ к информационно-правовым ресурсам. </w:t>
      </w:r>
    </w:p>
    <w:p w:rsidR="005505DC" w:rsidRPr="005505DC" w:rsidRDefault="005505DC" w:rsidP="0085782C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505DC">
        <w:rPr>
          <w:rFonts w:eastAsia="Calibri"/>
          <w:sz w:val="24"/>
          <w:szCs w:val="24"/>
          <w:lang w:eastAsia="en-US"/>
        </w:rPr>
        <w:t>Для повышения  уровня и качества обслуживания населения с  предпринимателями, действующими на территории Фировского района, ведется работа по информационному взаимодействию. Специалисты регулярно информируют предпринимателей о проведении различных конкурсов, обучающих семинаров, об изменениях в законодательстве.</w:t>
      </w:r>
    </w:p>
    <w:p w:rsidR="00735810" w:rsidRDefault="00735810" w:rsidP="0085782C">
      <w:pPr>
        <w:tabs>
          <w:tab w:val="left" w:pos="1080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6A7B86" w:rsidRDefault="006A7B86" w:rsidP="0085782C">
      <w:pPr>
        <w:spacing w:line="276" w:lineRule="auto"/>
        <w:ind w:firstLine="709"/>
      </w:pPr>
    </w:p>
    <w:sectPr w:rsidR="006A7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10"/>
    <w:rsid w:val="005505DC"/>
    <w:rsid w:val="006A7B86"/>
    <w:rsid w:val="00735810"/>
    <w:rsid w:val="0085782C"/>
    <w:rsid w:val="00923058"/>
    <w:rsid w:val="0097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581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8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35810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7358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358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58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8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581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8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35810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7358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358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58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8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Распределение малых предприятий по виду экономической деятельности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малых предприятий по виду экономической деятельности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00B0F0"/>
              </a:solidFill>
            </c:spPr>
          </c:dPt>
          <c:dPt>
            <c:idx val="1"/>
            <c:bubble3D val="0"/>
            <c:spPr>
              <a:solidFill>
                <a:srgbClr val="FFC000"/>
              </a:solidFill>
            </c:spPr>
          </c:dPt>
          <c:dPt>
            <c:idx val="2"/>
            <c:bubble3D val="0"/>
            <c:spPr>
              <a:solidFill>
                <a:srgbClr val="FF0000"/>
              </a:solidFill>
            </c:spPr>
          </c:dPt>
          <c:dPt>
            <c:idx val="4"/>
            <c:bubble3D val="0"/>
            <c:spPr>
              <a:solidFill>
                <a:srgbClr val="00B050"/>
              </a:solidFill>
            </c:spPr>
          </c:dPt>
          <c:dLbls>
            <c:dLbl>
              <c:idx val="0"/>
              <c:layout>
                <c:manualLayout>
                  <c:x val="3.9169053918873355E-2"/>
                  <c:y val="-0.28688085554364234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7.4028615675425249E-2"/>
                  <c:y val="6.2809319538542491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4.1064003689882861E-2"/>
                  <c:y val="4.4077221326033721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spPr/>
              <c:txPr>
                <a:bodyPr/>
                <a:lstStyle/>
                <a:p>
                  <a:pPr>
                    <a:defRPr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6.3358096691083568E-2"/>
                  <c:y val="3.8081934438283081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0.10943009064032996"/>
                  <c:y val="2.957839929068256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4.4464570837282745E-2"/>
                  <c:y val="-3.1825574103018395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Оптовая и розничная торговля, ремонт автотранспортных средств, бытовых изделий и предметов личного пользования</c:v>
                </c:pt>
                <c:pt idx="1">
                  <c:v>Строительство</c:v>
                </c:pt>
                <c:pt idx="2">
                  <c:v>Обрабатывающие производства</c:v>
                </c:pt>
                <c:pt idx="3">
                  <c:v>Прочие</c:v>
                </c:pt>
                <c:pt idx="4">
                  <c:v>Сельское и лесное хозяйство</c:v>
                </c:pt>
                <c:pt idx="5">
                  <c:v>Операции с недвижимым имуществом, аренда и предоставление услуг</c:v>
                </c:pt>
                <c:pt idx="6">
                  <c:v>Транспорт и связь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60</c:v>
                </c:pt>
                <c:pt idx="1">
                  <c:v>3</c:v>
                </c:pt>
                <c:pt idx="2">
                  <c:v>6</c:v>
                </c:pt>
                <c:pt idx="3">
                  <c:v>1</c:v>
                </c:pt>
                <c:pt idx="4">
                  <c:v>13</c:v>
                </c:pt>
                <c:pt idx="5">
                  <c:v>3</c:v>
                </c:pt>
                <c:pt idx="6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торговых площадей за 2014-2016 годы</c:v>
                </c:pt>
              </c:strCache>
            </c:strRef>
          </c:tx>
          <c:marker>
            <c:spPr>
              <a:solidFill>
                <a:srgbClr val="FF0000"/>
              </a:solidFill>
            </c:spPr>
          </c:marker>
          <c:cat>
            <c:numRef>
              <c:f>Лист1!$A$2:$A$4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4045.5</c:v>
                </c:pt>
                <c:pt idx="1">
                  <c:v>4192.3999999999996</c:v>
                </c:pt>
                <c:pt idx="2">
                  <c:v>4346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080000"/>
        <c:axId val="163840768"/>
      </c:lineChart>
      <c:catAx>
        <c:axId val="156080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63840768"/>
        <c:crosses val="autoZero"/>
        <c:auto val="1"/>
        <c:lblAlgn val="ctr"/>
        <c:lblOffset val="100"/>
        <c:noMultiLvlLbl val="0"/>
      </c:catAx>
      <c:valAx>
        <c:axId val="163840768"/>
        <c:scaling>
          <c:orientation val="minMax"/>
          <c:max val="4400"/>
          <c:min val="385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м</a:t>
                </a:r>
                <a:r>
                  <a:rPr lang="ru-RU" baseline="30000">
                    <a:latin typeface="Times New Roman" pitchFamily="18" charset="0"/>
                    <a:cs typeface="Times New Roman" pitchFamily="18" charset="0"/>
                  </a:rPr>
                  <a:t>2</a:t>
                </a:r>
                <a:endParaRPr lang="ru-RU">
                  <a:latin typeface="Times New Roman" pitchFamily="18" charset="0"/>
                  <a:cs typeface="Times New Roman" pitchFamily="18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56080000"/>
        <c:crosses val="autoZero"/>
        <c:crossBetween val="between"/>
        <c:majorUnit val="100"/>
        <c:minorUnit val="1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cp:lastPrinted>2018-02-28T10:20:00Z</cp:lastPrinted>
  <dcterms:created xsi:type="dcterms:W3CDTF">2018-02-28T10:18:00Z</dcterms:created>
  <dcterms:modified xsi:type="dcterms:W3CDTF">2018-02-28T11:14:00Z</dcterms:modified>
</cp:coreProperties>
</file>